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p>
    <w:p w14:paraId="1A5F2435">
      <w:pPr>
        <w:rPr>
          <w:lang w:val="zh-CN"/>
        </w:rPr>
      </w:pPr>
    </w:p>
    <w:p w14:paraId="5AF91C99">
      <w:pPr>
        <w:autoSpaceDE w:val="0"/>
        <w:autoSpaceDN w:val="0"/>
        <w:adjustRightInd w:val="0"/>
        <w:jc w:val="center"/>
        <w:rPr>
          <w:rFonts w:hint="eastAsia"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autoSpaceDE w:val="0"/>
        <w:autoSpaceDN w:val="0"/>
        <w:adjustRightInd w:val="0"/>
        <w:jc w:val="center"/>
        <w:rPr>
          <w:rFonts w:hint="default" w:ascii="黑体" w:hAnsi="华文中宋" w:eastAsia="黑体" w:cs="华文中宋"/>
          <w:color w:val="000000"/>
          <w:sz w:val="52"/>
          <w:szCs w:val="52"/>
          <w:lang w:val="en-US"/>
        </w:rPr>
      </w:pPr>
      <w:r>
        <w:rPr>
          <w:rFonts w:hint="eastAsia" w:ascii="黑体" w:hAnsi="华文中宋" w:eastAsia="黑体" w:cs="华文中宋"/>
          <w:color w:val="000000"/>
          <w:sz w:val="52"/>
          <w:szCs w:val="52"/>
          <w:lang w:val="en-US" w:eastAsia="zh-CN"/>
        </w:rPr>
        <w:t>下水道及沉淀池日常清运项目</w:t>
      </w:r>
    </w:p>
    <w:p w14:paraId="4C8C6F2E">
      <w:pPr>
        <w:ind w:firstLine="640"/>
        <w:rPr>
          <w:rFonts w:ascii="仿宋_GB2312" w:eastAsia="仿宋_GB2312"/>
          <w:sz w:val="32"/>
          <w:szCs w:val="36"/>
        </w:rPr>
      </w:pPr>
    </w:p>
    <w:p w14:paraId="1E29D51E">
      <w:pPr>
        <w:ind w:firstLine="640"/>
        <w:rPr>
          <w:rFonts w:ascii="仿宋_GB2312" w:eastAsia="仿宋_GB2312"/>
          <w:sz w:val="32"/>
          <w:szCs w:val="36"/>
        </w:rPr>
      </w:pPr>
    </w:p>
    <w:p w14:paraId="608599D2">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78</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下水道及沉淀池日常清运</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hint="eastAsia"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下水道及沉淀池日常清运项目</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78</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76600</w:t>
      </w:r>
      <w:r>
        <w:rPr>
          <w:rFonts w:hint="eastAsia" w:ascii="宋体" w:hAnsi="宋体" w:eastAsia="宋体" w:cs="等线"/>
          <w:b/>
          <w:bCs/>
          <w:szCs w:val="32"/>
        </w:rPr>
        <w:t>元</w:t>
      </w:r>
      <w:r>
        <w:rPr>
          <w:rFonts w:hint="eastAsia" w:ascii="宋体" w:hAnsi="宋体" w:eastAsia="宋体" w:cs="等线"/>
          <w:b/>
          <w:bCs/>
          <w:szCs w:val="32"/>
          <w:lang w:val="en-US" w:eastAsia="zh-CN"/>
        </w:rPr>
        <w:t>每年</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76000</w:t>
      </w:r>
      <w:r>
        <w:rPr>
          <w:rFonts w:hint="eastAsia" w:ascii="宋体" w:hAnsi="宋体" w:eastAsia="宋体" w:cs="等线"/>
          <w:b/>
          <w:bCs/>
          <w:szCs w:val="32"/>
        </w:rPr>
        <w:t>元</w:t>
      </w:r>
      <w:r>
        <w:rPr>
          <w:rFonts w:hint="eastAsia" w:ascii="宋体" w:hAnsi="宋体" w:eastAsia="宋体" w:cs="等线"/>
          <w:b/>
          <w:bCs/>
          <w:szCs w:val="32"/>
          <w:lang w:val="en-US" w:eastAsia="zh-CN"/>
        </w:rPr>
        <w:t>每年</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下水道及沉淀池日常清理服务</w:t>
      </w:r>
      <w:r>
        <w:rPr>
          <w:rFonts w:hint="eastAsia" w:ascii="宋体" w:hAnsi="宋体" w:eastAsia="宋体" w:cs="宋体"/>
          <w:color w:val="000000"/>
          <w:kern w:val="0"/>
          <w:sz w:val="24"/>
        </w:rPr>
        <w:t>（详见采购文件）管理。</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清理服务</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三年</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hint="eastAsia" w:ascii="宋体" w:hAnsi="宋体" w:eastAsia="宋体" w:cs="等线"/>
          <w:sz w:val="24"/>
          <w:szCs w:val="32"/>
          <w:lang w:val="en-US" w:eastAsia="zh-CN"/>
        </w:rPr>
      </w:pPr>
      <w:r>
        <w:rPr>
          <w:rFonts w:ascii="宋体" w:hAnsi="宋体" w:eastAsia="宋体" w:cs="等线"/>
          <w:sz w:val="24"/>
          <w:szCs w:val="32"/>
          <w:highlight w:val="yellow"/>
        </w:rPr>
        <w:t>5、本项目的特定资格要求：</w:t>
      </w:r>
      <w:r>
        <w:rPr>
          <w:rFonts w:hint="eastAsia" w:ascii="宋体" w:hAnsi="宋体" w:eastAsia="宋体" w:cs="等线"/>
          <w:sz w:val="24"/>
          <w:szCs w:val="32"/>
          <w:highlight w:val="yellow"/>
          <w:lang w:val="en-US" w:eastAsia="zh-CN"/>
        </w:rPr>
        <w:t>/</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4</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12576EB0">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610FA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w:t>
      </w:r>
      <w:r>
        <w:rPr>
          <w:rFonts w:hint="eastAsia" w:ascii="方正小标宋简体" w:hAnsi="宋体" w:eastAsia="方正小标宋简体"/>
          <w:sz w:val="36"/>
          <w:szCs w:val="36"/>
          <w:lang w:val="en-US" w:eastAsia="zh-CN"/>
        </w:rPr>
        <w:t>院下水道及沉淀池日常清运项目</w:t>
      </w:r>
    </w:p>
    <w:p w14:paraId="22F8F08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采购需求</w:t>
      </w:r>
    </w:p>
    <w:p w14:paraId="23EEBCDC">
      <w:pPr>
        <w:ind w:firstLine="480"/>
        <w:jc w:val="center"/>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bookmarkStart w:id="0" w:name="_GoBack"/>
      <w:bookmarkEnd w:id="0"/>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010929CE">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sz w:val="24"/>
        </w:rPr>
        <w:t xml:space="preserve"> </w:t>
      </w:r>
      <w:r>
        <w:rPr>
          <w:rFonts w:hint="eastAsia" w:ascii="宋体" w:hAnsi="宋体" w:eastAsia="宋体" w:cs="等线"/>
          <w:sz w:val="24"/>
          <w:szCs w:val="32"/>
        </w:rPr>
        <w:t>涡阳县人民医院新老区两区需要长年对各个地面下水道和沉淀池、化粪池进行定期清理和不定期清理，否则会造成下水道堵塞，无法正常工作</w:t>
      </w:r>
      <w:r>
        <w:rPr>
          <w:rFonts w:hint="eastAsia" w:ascii="宋体" w:hAnsi="宋体" w:eastAsia="宋体" w:cs="等线"/>
          <w:sz w:val="24"/>
          <w:szCs w:val="32"/>
          <w:lang w:eastAsia="zh-CN"/>
        </w:rPr>
        <w:t>。</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2FCC28FD">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1、涡阳县人民医院（向阳路院区）</w:t>
      </w:r>
    </w:p>
    <w:p w14:paraId="6994A2D8">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2、涡阳县人民医院（胜利路院区）</w:t>
      </w:r>
    </w:p>
    <w:p w14:paraId="7F7D2357">
      <w:pPr>
        <w:rPr>
          <w:rFonts w:hint="default" w:ascii="黑体" w:hAnsi="黑体" w:eastAsia="黑体" w:cs="黑体"/>
          <w:b/>
          <w:bCs/>
          <w:sz w:val="28"/>
          <w:szCs w:val="28"/>
          <w:lang w:val="en-US" w:eastAsia="zh-CN"/>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清理服务内容</w:t>
      </w:r>
    </w:p>
    <w:p w14:paraId="13452A0A">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1、两区污水处理站的清理</w:t>
      </w:r>
    </w:p>
    <w:p w14:paraId="64896016">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胜利路院区</w:t>
      </w:r>
      <w:r>
        <w:rPr>
          <w:rFonts w:hint="eastAsia" w:ascii="宋体" w:hAnsi="宋体" w:eastAsia="宋体" w:cs="宋体"/>
          <w:color w:val="000000"/>
          <w:sz w:val="24"/>
        </w:rPr>
        <w:t>有6个化粪池，需要定期清理</w:t>
      </w:r>
      <w:r>
        <w:rPr>
          <w:rFonts w:hint="eastAsia" w:ascii="宋体" w:hAnsi="宋体" w:eastAsia="宋体" w:cs="宋体"/>
          <w:color w:val="000000"/>
          <w:sz w:val="24"/>
        </w:rPr>
        <w:tab/>
      </w:r>
    </w:p>
    <w:p w14:paraId="1A496BC3">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3、胜利路院区污水处理站淤泥需要定期清理</w:t>
      </w:r>
    </w:p>
    <w:p w14:paraId="537E29A9">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eastAsia="zh-CN"/>
        </w:rPr>
        <w:t>两</w:t>
      </w:r>
      <w:r>
        <w:rPr>
          <w:rFonts w:hint="eastAsia" w:ascii="宋体" w:hAnsi="宋体" w:eastAsia="宋体" w:cs="宋体"/>
          <w:color w:val="000000"/>
          <w:sz w:val="24"/>
        </w:rPr>
        <w:t>院</w:t>
      </w:r>
      <w:r>
        <w:rPr>
          <w:rFonts w:hint="eastAsia" w:ascii="宋体" w:hAnsi="宋体" w:eastAsia="宋体" w:cs="宋体"/>
          <w:color w:val="000000"/>
          <w:sz w:val="24"/>
          <w:lang w:val="en-US" w:eastAsia="zh-CN"/>
        </w:rPr>
        <w:t>区内</w:t>
      </w:r>
      <w:r>
        <w:rPr>
          <w:rFonts w:hint="eastAsia" w:ascii="宋体" w:hAnsi="宋体" w:eastAsia="宋体" w:cs="宋体"/>
          <w:color w:val="000000"/>
          <w:sz w:val="24"/>
        </w:rPr>
        <w:t>雨水管道和污水管道需要定期清理</w:t>
      </w:r>
    </w:p>
    <w:p w14:paraId="0090D58A">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en-US" w:eastAsia="zh-CN"/>
        </w:rPr>
        <w:t>胜利路院区</w:t>
      </w:r>
      <w:r>
        <w:rPr>
          <w:rFonts w:hint="eastAsia" w:ascii="宋体" w:hAnsi="宋体" w:eastAsia="宋体" w:cs="宋体"/>
          <w:color w:val="000000"/>
          <w:sz w:val="24"/>
        </w:rPr>
        <w:t>家属院化粪池和下水道需要定期清理</w:t>
      </w:r>
    </w:p>
    <w:p w14:paraId="22AD320A">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6、向阳路院区污水井和雨水井共197处，化粪池13处(其中 270立方的2处，120立方的5处，80立方的2处，40立方的2 处，100立方的2 处)需要定期清理</w:t>
      </w:r>
      <w:r>
        <w:rPr>
          <w:rFonts w:hint="eastAsia" w:ascii="宋体" w:hAnsi="宋体" w:eastAsia="宋体" w:cs="宋体"/>
          <w:color w:val="000000"/>
          <w:sz w:val="24"/>
          <w:lang w:eastAsia="zh-CN"/>
        </w:rPr>
        <w:t>。</w:t>
      </w:r>
    </w:p>
    <w:p w14:paraId="71E963D9">
      <w:pPr>
        <w:rPr>
          <w:rFonts w:hint="eastAsia" w:ascii="黑体" w:hAnsi="黑体" w:eastAsia="黑体" w:cs="黑体"/>
          <w:b/>
          <w:bCs/>
          <w:sz w:val="28"/>
          <w:szCs w:val="28"/>
        </w:rPr>
      </w:pPr>
      <w:r>
        <w:rPr>
          <w:rFonts w:hint="eastAsia" w:ascii="黑体" w:hAnsi="黑体" w:eastAsia="黑体" w:cs="黑体"/>
          <w:b/>
          <w:bCs/>
          <w:sz w:val="28"/>
          <w:szCs w:val="28"/>
        </w:rPr>
        <w:t>四、</w:t>
      </w:r>
      <w:r>
        <w:rPr>
          <w:rFonts w:hint="eastAsia" w:ascii="黑体" w:hAnsi="黑体" w:eastAsia="黑体" w:cs="黑体"/>
          <w:b/>
          <w:bCs/>
          <w:sz w:val="28"/>
          <w:szCs w:val="28"/>
          <w:lang w:val="en-US" w:eastAsia="zh-CN"/>
        </w:rPr>
        <w:t>清理服务相关</w:t>
      </w:r>
      <w:r>
        <w:rPr>
          <w:rFonts w:hint="eastAsia" w:ascii="黑体" w:hAnsi="黑体" w:eastAsia="黑体" w:cs="黑体"/>
          <w:b/>
          <w:bCs/>
          <w:sz w:val="28"/>
          <w:szCs w:val="28"/>
        </w:rPr>
        <w:t>要求</w:t>
      </w:r>
    </w:p>
    <w:p w14:paraId="5CE5A898">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1、所有化粪池、污水池、下水道、雨水管道、每月进行清理服务一次及突发情况的不定期清理。人工河道飘浮物不定期清理打捞，保持河面干净整洁</w:t>
      </w:r>
      <w:r>
        <w:rPr>
          <w:rFonts w:hint="eastAsia" w:ascii="宋体" w:hAnsi="宋体" w:eastAsia="宋体" w:cs="宋体"/>
          <w:color w:val="000000"/>
          <w:sz w:val="24"/>
          <w:lang w:eastAsia="zh-CN"/>
        </w:rPr>
        <w:t>。</w:t>
      </w:r>
    </w:p>
    <w:p w14:paraId="55E20FA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233B935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投标人应</w:t>
      </w:r>
      <w:r>
        <w:rPr>
          <w:rFonts w:hint="eastAsia" w:ascii="宋体" w:hAnsi="宋体" w:eastAsia="宋体" w:cs="宋体"/>
          <w:color w:val="000000"/>
          <w:sz w:val="24"/>
        </w:rPr>
        <w:t>具有相应工作能力的熟练专业技术工人投入工作。</w:t>
      </w:r>
    </w:p>
    <w:p w14:paraId="755B20E8">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21F22FE3">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w:t>
      </w:r>
      <w:r>
        <w:rPr>
          <w:rFonts w:hint="eastAsia" w:ascii="宋体" w:hAnsi="宋体" w:eastAsia="宋体" w:cs="宋体"/>
          <w:color w:val="000000"/>
          <w:sz w:val="24"/>
          <w:lang w:val="en-US" w:eastAsia="zh-CN"/>
        </w:rPr>
        <w:t>疏通</w:t>
      </w:r>
      <w:r>
        <w:rPr>
          <w:rFonts w:hint="eastAsia" w:ascii="宋体" w:hAnsi="宋体" w:eastAsia="宋体" w:cs="宋体"/>
          <w:color w:val="000000"/>
          <w:sz w:val="24"/>
        </w:rPr>
        <w:t>工具</w:t>
      </w:r>
      <w:r>
        <w:rPr>
          <w:rFonts w:hint="eastAsia" w:ascii="宋体" w:hAnsi="宋体" w:eastAsia="宋体" w:cs="宋体"/>
          <w:color w:val="000000"/>
          <w:sz w:val="24"/>
          <w:lang w:eastAsia="zh-CN"/>
        </w:rPr>
        <w:t>、</w:t>
      </w:r>
      <w:r>
        <w:rPr>
          <w:rFonts w:hint="eastAsia" w:ascii="宋体" w:hAnsi="宋体" w:eastAsia="宋体" w:cs="宋体"/>
          <w:color w:val="000000"/>
          <w:sz w:val="24"/>
        </w:rPr>
        <w:t>用具</w:t>
      </w:r>
      <w:r>
        <w:rPr>
          <w:rFonts w:hint="eastAsia" w:ascii="宋体" w:hAnsi="宋体" w:eastAsia="宋体" w:cs="宋体"/>
          <w:color w:val="000000"/>
          <w:sz w:val="24"/>
          <w:lang w:eastAsia="zh-CN"/>
        </w:rPr>
        <w:t>，</w:t>
      </w:r>
      <w:r>
        <w:rPr>
          <w:rFonts w:hint="eastAsia" w:ascii="宋体" w:hAnsi="宋体" w:eastAsia="宋体" w:cs="宋体"/>
          <w:color w:val="000000"/>
          <w:sz w:val="24"/>
        </w:rPr>
        <w:t>车辆等，由施工方自行解决。</w:t>
      </w:r>
    </w:p>
    <w:p w14:paraId="2FFEE612">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w:t>
      </w:r>
      <w:r>
        <w:rPr>
          <w:rFonts w:hint="eastAsia" w:ascii="宋体" w:hAnsi="宋体" w:eastAsia="宋体"/>
          <w:color w:val="000000"/>
          <w:sz w:val="24"/>
          <w:lang w:eastAsia="zh-CN"/>
        </w:rPr>
        <w:t>施工</w:t>
      </w:r>
      <w:r>
        <w:rPr>
          <w:rFonts w:hint="eastAsia" w:ascii="宋体" w:hAnsi="宋体" w:eastAsia="宋体"/>
          <w:color w:val="000000"/>
          <w:sz w:val="24"/>
        </w:rPr>
        <w:t>人员人身</w:t>
      </w:r>
      <w:r>
        <w:rPr>
          <w:rFonts w:hint="eastAsia" w:ascii="宋体" w:hAnsi="宋体" w:eastAsia="宋体"/>
          <w:color w:val="000000"/>
          <w:sz w:val="24"/>
          <w:lang w:eastAsia="zh-CN"/>
        </w:rPr>
        <w:t>安</w:t>
      </w:r>
      <w:r>
        <w:rPr>
          <w:rFonts w:hint="eastAsia" w:ascii="宋体" w:hAnsi="宋体" w:eastAsia="宋体"/>
          <w:color w:val="000000"/>
          <w:sz w:val="24"/>
        </w:rPr>
        <w:t>全、采购方人员、就诊病人、家属的安全以及各方的财产安全。</w:t>
      </w:r>
    </w:p>
    <w:p w14:paraId="3051D47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ascii="宋体" w:hAnsi="宋体" w:eastAsia="宋体"/>
          <w:color w:val="000000"/>
          <w:sz w:val="24"/>
        </w:rPr>
        <w:t>、</w:t>
      </w:r>
      <w:r>
        <w:rPr>
          <w:rFonts w:hint="eastAsia" w:ascii="宋体" w:hAnsi="宋体" w:eastAsia="宋体"/>
          <w:color w:val="000000"/>
          <w:sz w:val="24"/>
          <w:lang w:val="en-US" w:eastAsia="zh-CN"/>
        </w:rPr>
        <w:t>投标</w:t>
      </w:r>
      <w:r>
        <w:rPr>
          <w:rFonts w:hint="eastAsia" w:ascii="宋体" w:hAnsi="宋体" w:eastAsia="宋体"/>
          <w:color w:val="000000"/>
          <w:sz w:val="24"/>
        </w:rPr>
        <w:t>人因安全措施不到位，在施工中造成任何一方人员安全事件或财产损失，责任由成交人全部承担。</w:t>
      </w:r>
    </w:p>
    <w:p w14:paraId="0C807D1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、因成交方原因造成工程质量达不到合同约定验收标准的，招标方有权要求</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返工直至符合合同要求为止，由此造成的费用增加和工期延误由成交方承担。</w:t>
      </w:r>
    </w:p>
    <w:p w14:paraId="408975BD">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7C59500E">
      <w:pPr>
        <w:numPr>
          <w:ilvl w:val="0"/>
          <w:numId w:val="0"/>
        </w:num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五、日常监管</w:t>
      </w:r>
    </w:p>
    <w:p w14:paraId="2D2FBE94">
      <w:pPr>
        <w:spacing w:line="380" w:lineRule="exac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（一）每月考核一次。</w:t>
      </w:r>
    </w:p>
    <w:p w14:paraId="74BD616A">
      <w:pPr>
        <w:shd w:val="clear" w:color="auto" w:fill="FFFFFF"/>
        <w:spacing w:line="380" w:lineRule="exact"/>
        <w:jc w:val="left"/>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（二）考评内容、标准及相关措施：</w:t>
      </w:r>
    </w:p>
    <w:p w14:paraId="04971121">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 1、总务部组织随机临床科室及相关部门进行打分考核，90分合格、95分良好、满分100分优秀。当月考核得分90分以上（含90分）的，医院按合同价全额支付维修服务费；当月考核得分在90分以下时，每少1分，扣发年服务费1%的维修服务费；如当月考核得分低于80分（不含80分）时，每少1分，扣发当年服务费2%的维修服务费，并且考核领导小组将下达限期整改通知，整改期限不超过一个月，如在整改期内仍不能达到要求，我院有权终止合同，并上报政府采购监管部门纳入诚信不良记录，且重新组织招标，该服务单位将不得参加下轮投标。</w:t>
      </w:r>
    </w:p>
    <w:p w14:paraId="443D4F30">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2、考核与处罚：招标人按招标文件、合同及其他有关规定，将对中标单位的维修服务服务质量进行日常巡查、不定期督查、月度考评、年度总评等检查、考核，严格兑现奖惩。月度考评连续两个月在85分以下的，院方有权力单方面解除服务合同，清退中标单位出场,履约保证金不予退还；全年月考评平均实际得分低于85分的，取消该单位服务资格，不再续签服务合同，履约保证金不予退还。</w:t>
      </w:r>
    </w:p>
    <w:p w14:paraId="15B47371">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3、扣分考核分为：接到报修通知60分钟内维修人员不到位一次扣1分，服务态度不满意一次0.5分，维修质量不合格一次1分，维修顺序没有做先急后缓一次扣1分，堵塞溢水的优先维修，人工河有明显飘浮物12小时未清理一次扣1分，维修现场地面及沿途路面有垃圾遗弃物未及时清理清运一次扣2分。</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ascii="宋体" w:hAnsi="宋体" w:eastAsia="宋体"/>
          <w:sz w:val="24"/>
        </w:rPr>
      </w:pPr>
      <w:r>
        <w:rPr>
          <w:rFonts w:hint="eastAsia" w:ascii="宋体" w:hAnsi="宋体" w:eastAsia="宋体"/>
          <w:color w:val="000000"/>
          <w:sz w:val="24"/>
        </w:rPr>
        <w:t>1、符合国家相关法律法规及行业标准要求。</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76000</w:t>
      </w:r>
      <w:r>
        <w:rPr>
          <w:rFonts w:hint="eastAsia" w:ascii="宋体" w:hAnsi="宋体" w:eastAsia="宋体"/>
          <w:b/>
          <w:sz w:val="24"/>
          <w:highlight w:val="yellow"/>
        </w:rPr>
        <w:t>元</w:t>
      </w:r>
      <w:r>
        <w:rPr>
          <w:rFonts w:hint="eastAsia" w:ascii="宋体" w:hAnsi="宋体" w:eastAsia="宋体"/>
          <w:b/>
          <w:sz w:val="24"/>
          <w:highlight w:val="yellow"/>
          <w:lang w:val="en-US" w:eastAsia="zh-CN"/>
        </w:rPr>
        <w:t>每年</w:t>
      </w:r>
      <w:r>
        <w:rPr>
          <w:rFonts w:hint="eastAsia" w:ascii="宋体" w:hAnsi="宋体" w:eastAsia="宋体"/>
          <w:b/>
          <w:sz w:val="24"/>
          <w:highlight w:val="yellow"/>
        </w:rPr>
        <w:t>（大写：</w:t>
      </w:r>
      <w:r>
        <w:rPr>
          <w:rFonts w:hint="eastAsia" w:ascii="宋体" w:hAnsi="宋体" w:eastAsia="宋体"/>
          <w:b/>
          <w:sz w:val="24"/>
          <w:highlight w:val="yellow"/>
          <w:lang w:val="en-US" w:eastAsia="zh-CN"/>
        </w:rPr>
        <w:t>柒万陆仟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1C9931D">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07874DBE">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4A09D256">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val="en-US" w:eastAsia="zh-CN"/>
        </w:rPr>
        <w:t>清理服务</w:t>
      </w:r>
      <w:r>
        <w:rPr>
          <w:rFonts w:hint="eastAsia" w:ascii="宋体" w:hAnsi="宋体" w:eastAsia="宋体"/>
          <w:color w:val="000000"/>
          <w:sz w:val="24"/>
          <w:highlight w:val="yellow"/>
        </w:rPr>
        <w:t>清单中未列出的工程量均包含在投标总价</w:t>
      </w:r>
      <w:r>
        <w:rPr>
          <w:rFonts w:hint="eastAsia" w:ascii="宋体" w:hAnsi="宋体" w:eastAsia="宋体"/>
          <w:color w:val="000000"/>
          <w:sz w:val="24"/>
          <w:highlight w:val="yellow"/>
          <w:lang w:val="en-US" w:eastAsia="zh-CN"/>
        </w:rPr>
        <w:t>内</w:t>
      </w:r>
      <w:r>
        <w:rPr>
          <w:rFonts w:hint="eastAsia" w:ascii="宋体" w:hAnsi="宋体" w:eastAsia="宋体"/>
          <w:color w:val="000000"/>
          <w:sz w:val="24"/>
        </w:rPr>
        <w:t>。</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按每月一考核，每月一结算</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63A0A064">
      <w:pPr>
        <w:spacing w:line="380" w:lineRule="exact"/>
        <w:ind w:firstLine="480"/>
        <w:rPr>
          <w:rFonts w:ascii="宋体" w:hAnsi="宋体" w:eastAsia="宋体"/>
          <w:sz w:val="24"/>
          <w:highlight w:val="yellow"/>
        </w:rPr>
      </w:pPr>
      <w:r>
        <w:rPr>
          <w:rFonts w:hint="eastAsia" w:ascii="宋体" w:hAnsi="宋体" w:eastAsia="宋体"/>
          <w:sz w:val="24"/>
          <w:highlight w:val="none"/>
        </w:rPr>
        <w:t>3、如</w:t>
      </w:r>
      <w:r>
        <w:rPr>
          <w:rFonts w:hint="eastAsia" w:ascii="宋体" w:hAnsi="宋体" w:eastAsia="宋体"/>
          <w:color w:val="000000"/>
          <w:sz w:val="24"/>
        </w:rPr>
        <w:t>医院招标采购领导小组审定认为报价明显偏离市场正常价格，或可能存在竞争性不足，将重新组织招标。</w:t>
      </w:r>
    </w:p>
    <w:p w14:paraId="5A2CF3C1">
      <w:pPr>
        <w:pStyle w:val="11"/>
        <w:sectPr>
          <w:pgSz w:w="11906" w:h="16838"/>
          <w:pgMar w:top="1531" w:right="1304" w:bottom="1418" w:left="1418" w:header="851" w:footer="992" w:gutter="0"/>
          <w:cols w:space="720" w:num="1"/>
          <w:docGrid w:linePitch="435" w:charSpace="0"/>
        </w:sectPr>
      </w:pP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spacing w:line="360" w:lineRule="auto"/>
        <w:jc w:val="center"/>
        <w:rPr>
          <w:rFonts w:hint="eastAsia" w:ascii="宋体" w:hAnsi="宋体"/>
          <w:sz w:val="52"/>
        </w:rPr>
      </w:pPr>
      <w:r>
        <w:rPr>
          <w:rFonts w:hint="eastAsia" w:ascii="宋体" w:hAnsi="宋体"/>
          <w:sz w:val="52"/>
        </w:rPr>
        <w:t>涡阳县人民医院</w:t>
      </w:r>
    </w:p>
    <w:p w14:paraId="548F911A">
      <w:pPr>
        <w:spacing w:line="360" w:lineRule="auto"/>
        <w:jc w:val="center"/>
        <w:rPr>
          <w:rFonts w:hint="eastAsia" w:ascii="宋体" w:hAnsi="宋体"/>
          <w:sz w:val="52"/>
        </w:rPr>
      </w:pPr>
    </w:p>
    <w:p w14:paraId="59780108">
      <w:pPr>
        <w:spacing w:line="360" w:lineRule="auto"/>
        <w:jc w:val="center"/>
        <w:rPr>
          <w:rFonts w:hint="default" w:ascii="宋体" w:hAnsi="宋体"/>
          <w:sz w:val="52"/>
          <w:lang w:val="en-US"/>
        </w:rPr>
      </w:pPr>
      <w:r>
        <w:rPr>
          <w:rFonts w:hint="eastAsia" w:ascii="宋体" w:hAnsi="宋体"/>
          <w:sz w:val="52"/>
          <w:lang w:val="en-US" w:eastAsia="zh-CN"/>
        </w:rPr>
        <w:t>下水道及沉淀池日常清运</w:t>
      </w:r>
    </w:p>
    <w:p w14:paraId="443B0E31">
      <w:pPr>
        <w:pStyle w:val="11"/>
        <w:ind w:firstLine="402"/>
        <w:jc w:val="center"/>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3D804024">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adjustRightInd w:val="0"/>
              <w:snapToGrid w:val="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下水道及沉淀池日常清运</w:t>
            </w:r>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adjustRightInd w:val="0"/>
              <w:snapToGrid w:val="0"/>
              <w:rPr>
                <w:rFonts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adjustRightInd w:val="0"/>
              <w:snapToGrid w:val="0"/>
              <w:rPr>
                <w:rFonts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adjustRightInd w:val="0"/>
              <w:snapToGrid w:val="0"/>
              <w:jc w:val="center"/>
              <w:rPr>
                <w:rFonts w:ascii="Calibri" w:hAnsi="宋体" w:eastAsia="Calibri"/>
                <w:kern w:val="0"/>
                <w:sz w:val="24"/>
              </w:rPr>
            </w:pPr>
            <w:r>
              <w:rPr>
                <w:rFonts w:ascii="Calibri" w:hAnsi="宋体" w:eastAsia="Calibri"/>
                <w:kern w:val="0"/>
                <w:sz w:val="24"/>
              </w:rPr>
              <w:t>投标总价</w:t>
            </w:r>
          </w:p>
          <w:p w14:paraId="3C1B2C7D">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adjustRightInd w:val="0"/>
              <w:snapToGrid w:val="0"/>
              <w:rPr>
                <w:rFonts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adjustRightInd w:val="0"/>
              <w:snapToGrid w:val="0"/>
              <w:jc w:val="center"/>
              <w:rPr>
                <w:rFonts w:ascii="宋体" w:hAnsi="宋体"/>
                <w:kern w:val="0"/>
                <w:sz w:val="24"/>
              </w:rPr>
            </w:pPr>
            <w:r>
              <w:rPr>
                <w:rFonts w:hint="eastAsia" w:ascii="Calibri" w:hAnsi="宋体"/>
                <w:kern w:val="0"/>
                <w:sz w:val="24"/>
                <w:lang w:val="en-US" w:eastAsia="zh-CN"/>
              </w:rPr>
              <w:t>清运服务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adjustRightInd w:val="0"/>
              <w:snapToGrid w:val="0"/>
              <w:rPr>
                <w:rFonts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adjustRightInd w:val="0"/>
              <w:snapToGrid w:val="0"/>
              <w:rPr>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adjustRightInd w:val="0"/>
              <w:snapToGrid w:val="0"/>
              <w:rPr>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179B7F88">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jc w:val="center"/>
              <w:rPr>
                <w:rFonts w:hint="default" w:eastAsiaTheme="minorEastAsia"/>
                <w:sz w:val="24"/>
                <w:szCs w:val="24"/>
                <w:vertAlign w:val="baseline"/>
                <w:lang w:val="en-US" w:eastAsia="zh-CN"/>
              </w:rPr>
            </w:pPr>
          </w:p>
        </w:tc>
        <w:tc>
          <w:tcPr>
            <w:tcW w:w="2818" w:type="dxa"/>
            <w:vAlign w:val="center"/>
          </w:tcPr>
          <w:p w14:paraId="1B55ECE7">
            <w:pPr>
              <w:jc w:val="center"/>
              <w:rPr>
                <w:rFonts w:hint="default" w:eastAsiaTheme="minorEastAsia"/>
                <w:sz w:val="24"/>
                <w:szCs w:val="24"/>
                <w:vertAlign w:val="baseline"/>
                <w:lang w:val="en-US" w:eastAsia="zh-CN"/>
              </w:rPr>
            </w:pPr>
          </w:p>
        </w:tc>
        <w:tc>
          <w:tcPr>
            <w:tcW w:w="2589" w:type="dxa"/>
            <w:vAlign w:val="center"/>
          </w:tcPr>
          <w:p w14:paraId="1D1E982D">
            <w:pPr>
              <w:jc w:val="center"/>
              <w:rPr>
                <w:rFonts w:hint="default" w:eastAsia="等线"/>
                <w:vertAlign w:val="baseline"/>
                <w:lang w:val="en-US" w:eastAsia="zh-CN"/>
              </w:rPr>
            </w:pPr>
          </w:p>
        </w:tc>
        <w:tc>
          <w:tcPr>
            <w:tcW w:w="2589" w:type="dxa"/>
            <w:vAlign w:val="center"/>
          </w:tcPr>
          <w:p w14:paraId="4FAD24B1">
            <w:pPr>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jc w:val="center"/>
              <w:rPr>
                <w:rFonts w:hint="eastAsia" w:eastAsiaTheme="minorEastAsia"/>
                <w:sz w:val="24"/>
                <w:szCs w:val="24"/>
                <w:vertAlign w:val="baseline"/>
                <w:lang w:val="en-US" w:eastAsia="zh-CN"/>
              </w:rPr>
            </w:pPr>
          </w:p>
        </w:tc>
        <w:tc>
          <w:tcPr>
            <w:tcW w:w="2971" w:type="dxa"/>
            <w:vAlign w:val="center"/>
          </w:tcPr>
          <w:p w14:paraId="37C05D2F">
            <w:pPr>
              <w:jc w:val="center"/>
              <w:rPr>
                <w:rFonts w:hint="default" w:eastAsiaTheme="minorEastAsia"/>
                <w:sz w:val="24"/>
                <w:szCs w:val="24"/>
                <w:vertAlign w:val="baseline"/>
                <w:lang w:val="en-US" w:eastAsia="zh-CN"/>
              </w:rPr>
            </w:pPr>
          </w:p>
        </w:tc>
        <w:tc>
          <w:tcPr>
            <w:tcW w:w="2818" w:type="dxa"/>
            <w:vAlign w:val="center"/>
          </w:tcPr>
          <w:p w14:paraId="505C5E7D">
            <w:pPr>
              <w:jc w:val="center"/>
              <w:rPr>
                <w:rFonts w:hint="default" w:eastAsiaTheme="minorEastAsia"/>
                <w:sz w:val="24"/>
                <w:szCs w:val="24"/>
                <w:vertAlign w:val="baseline"/>
                <w:lang w:val="en-US" w:eastAsia="zh-CN"/>
              </w:rPr>
            </w:pPr>
          </w:p>
        </w:tc>
        <w:tc>
          <w:tcPr>
            <w:tcW w:w="2589" w:type="dxa"/>
            <w:vAlign w:val="center"/>
          </w:tcPr>
          <w:p w14:paraId="2BA4E5E5">
            <w:pPr>
              <w:jc w:val="center"/>
              <w:rPr>
                <w:vertAlign w:val="baseline"/>
              </w:rPr>
            </w:pPr>
          </w:p>
        </w:tc>
        <w:tc>
          <w:tcPr>
            <w:tcW w:w="2589" w:type="dxa"/>
            <w:vAlign w:val="center"/>
          </w:tcPr>
          <w:p w14:paraId="7697BE3A">
            <w:pPr>
              <w:jc w:val="center"/>
              <w:rPr>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jc w:val="center"/>
              <w:rPr>
                <w:rFonts w:hint="default" w:eastAsiaTheme="minorEastAsia"/>
                <w:sz w:val="24"/>
                <w:szCs w:val="24"/>
                <w:vertAlign w:val="baseline"/>
                <w:lang w:val="en-US" w:eastAsia="zh-CN"/>
              </w:rPr>
            </w:pPr>
          </w:p>
        </w:tc>
        <w:tc>
          <w:tcPr>
            <w:tcW w:w="2971" w:type="dxa"/>
            <w:vAlign w:val="center"/>
          </w:tcPr>
          <w:p w14:paraId="7C1FBACD">
            <w:pPr>
              <w:jc w:val="center"/>
              <w:rPr>
                <w:rFonts w:hint="default" w:eastAsiaTheme="minorEastAsia"/>
                <w:sz w:val="24"/>
                <w:szCs w:val="24"/>
                <w:vertAlign w:val="baseline"/>
                <w:lang w:val="en-US" w:eastAsia="zh-CN"/>
              </w:rPr>
            </w:pPr>
          </w:p>
        </w:tc>
        <w:tc>
          <w:tcPr>
            <w:tcW w:w="2818" w:type="dxa"/>
            <w:vAlign w:val="center"/>
          </w:tcPr>
          <w:p w14:paraId="7D30B0EE">
            <w:pPr>
              <w:jc w:val="center"/>
              <w:rPr>
                <w:rFonts w:hint="default" w:eastAsiaTheme="minorEastAsia"/>
                <w:sz w:val="24"/>
                <w:szCs w:val="24"/>
                <w:vertAlign w:val="baseline"/>
                <w:lang w:val="en-US" w:eastAsia="zh-CN"/>
              </w:rPr>
            </w:pPr>
          </w:p>
        </w:tc>
        <w:tc>
          <w:tcPr>
            <w:tcW w:w="2589" w:type="dxa"/>
            <w:vAlign w:val="center"/>
          </w:tcPr>
          <w:p w14:paraId="2477E13F">
            <w:pPr>
              <w:jc w:val="center"/>
              <w:rPr>
                <w:vertAlign w:val="baseline"/>
              </w:rPr>
            </w:pPr>
          </w:p>
        </w:tc>
        <w:tc>
          <w:tcPr>
            <w:tcW w:w="2589" w:type="dxa"/>
            <w:vAlign w:val="center"/>
          </w:tcPr>
          <w:p w14:paraId="4C6F2C0C">
            <w:pPr>
              <w:jc w:val="center"/>
              <w:rPr>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jc w:val="center"/>
              <w:rPr>
                <w:rFonts w:hint="default" w:eastAsiaTheme="minorEastAsia"/>
                <w:sz w:val="24"/>
                <w:szCs w:val="24"/>
                <w:vertAlign w:val="baseline"/>
                <w:lang w:val="en-US" w:eastAsia="zh-CN"/>
              </w:rPr>
            </w:pPr>
          </w:p>
        </w:tc>
        <w:tc>
          <w:tcPr>
            <w:tcW w:w="2971" w:type="dxa"/>
            <w:vAlign w:val="center"/>
          </w:tcPr>
          <w:p w14:paraId="3C143A5E">
            <w:pPr>
              <w:jc w:val="center"/>
              <w:rPr>
                <w:rFonts w:hint="default" w:eastAsiaTheme="minorEastAsia"/>
                <w:sz w:val="24"/>
                <w:szCs w:val="24"/>
                <w:vertAlign w:val="baseline"/>
                <w:lang w:val="en-US" w:eastAsia="zh-CN"/>
              </w:rPr>
            </w:pPr>
          </w:p>
        </w:tc>
        <w:tc>
          <w:tcPr>
            <w:tcW w:w="2818" w:type="dxa"/>
            <w:vAlign w:val="center"/>
          </w:tcPr>
          <w:p w14:paraId="423C51AC">
            <w:pPr>
              <w:jc w:val="center"/>
              <w:rPr>
                <w:rFonts w:hint="default" w:eastAsiaTheme="minorEastAsia"/>
                <w:sz w:val="24"/>
                <w:szCs w:val="24"/>
                <w:vertAlign w:val="baseline"/>
                <w:lang w:val="en-US" w:eastAsia="zh-CN"/>
              </w:rPr>
            </w:pPr>
          </w:p>
        </w:tc>
        <w:tc>
          <w:tcPr>
            <w:tcW w:w="2589" w:type="dxa"/>
            <w:vAlign w:val="center"/>
          </w:tcPr>
          <w:p w14:paraId="5AE0D01B">
            <w:pPr>
              <w:jc w:val="center"/>
              <w:rPr>
                <w:vertAlign w:val="baseline"/>
              </w:rPr>
            </w:pPr>
          </w:p>
        </w:tc>
        <w:tc>
          <w:tcPr>
            <w:tcW w:w="2589" w:type="dxa"/>
            <w:vAlign w:val="center"/>
          </w:tcPr>
          <w:p w14:paraId="47C315E4">
            <w:pPr>
              <w:jc w:val="center"/>
              <w:rPr>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jc w:val="center"/>
              <w:rPr>
                <w:rFonts w:hint="default" w:eastAsiaTheme="minorEastAsia"/>
                <w:sz w:val="24"/>
                <w:szCs w:val="24"/>
                <w:vertAlign w:val="baseline"/>
                <w:lang w:val="en-US" w:eastAsia="zh-CN"/>
              </w:rPr>
            </w:pPr>
          </w:p>
        </w:tc>
        <w:tc>
          <w:tcPr>
            <w:tcW w:w="2971" w:type="dxa"/>
            <w:vAlign w:val="center"/>
          </w:tcPr>
          <w:p w14:paraId="17BAB836">
            <w:pPr>
              <w:jc w:val="center"/>
              <w:rPr>
                <w:rFonts w:hint="default" w:eastAsiaTheme="minorEastAsia"/>
                <w:sz w:val="24"/>
                <w:szCs w:val="24"/>
                <w:vertAlign w:val="baseline"/>
                <w:lang w:val="en-US" w:eastAsia="zh-CN"/>
              </w:rPr>
            </w:pPr>
          </w:p>
        </w:tc>
        <w:tc>
          <w:tcPr>
            <w:tcW w:w="2818" w:type="dxa"/>
            <w:vAlign w:val="center"/>
          </w:tcPr>
          <w:p w14:paraId="569A742A">
            <w:pPr>
              <w:jc w:val="center"/>
              <w:rPr>
                <w:rFonts w:hint="default" w:eastAsiaTheme="minorEastAsia"/>
                <w:sz w:val="24"/>
                <w:szCs w:val="24"/>
                <w:vertAlign w:val="baseline"/>
                <w:lang w:val="en-US" w:eastAsia="zh-CN"/>
              </w:rPr>
            </w:pPr>
          </w:p>
        </w:tc>
        <w:tc>
          <w:tcPr>
            <w:tcW w:w="2589" w:type="dxa"/>
            <w:vAlign w:val="center"/>
          </w:tcPr>
          <w:p w14:paraId="597D1A82">
            <w:pPr>
              <w:jc w:val="center"/>
              <w:rPr>
                <w:vertAlign w:val="baseline"/>
              </w:rPr>
            </w:pPr>
          </w:p>
        </w:tc>
        <w:tc>
          <w:tcPr>
            <w:tcW w:w="2589" w:type="dxa"/>
            <w:vAlign w:val="center"/>
          </w:tcPr>
          <w:p w14:paraId="3FCC1C66">
            <w:pPr>
              <w:jc w:val="center"/>
              <w:rPr>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jc w:val="center"/>
              <w:rPr>
                <w:rFonts w:hint="eastAsia" w:eastAsiaTheme="minorEastAsia"/>
                <w:sz w:val="24"/>
                <w:szCs w:val="24"/>
                <w:vertAlign w:val="baseline"/>
                <w:lang w:val="en-US" w:eastAsia="zh-CN"/>
              </w:rPr>
            </w:pPr>
          </w:p>
        </w:tc>
        <w:tc>
          <w:tcPr>
            <w:tcW w:w="2971" w:type="dxa"/>
            <w:vAlign w:val="center"/>
          </w:tcPr>
          <w:p w14:paraId="34FF2971">
            <w:pPr>
              <w:jc w:val="center"/>
              <w:rPr>
                <w:sz w:val="24"/>
                <w:szCs w:val="24"/>
                <w:vertAlign w:val="baseline"/>
              </w:rPr>
            </w:pPr>
          </w:p>
        </w:tc>
        <w:tc>
          <w:tcPr>
            <w:tcW w:w="2818" w:type="dxa"/>
            <w:vAlign w:val="center"/>
          </w:tcPr>
          <w:p w14:paraId="5A1FDD0C">
            <w:pPr>
              <w:jc w:val="center"/>
              <w:rPr>
                <w:rFonts w:hint="default" w:eastAsiaTheme="minorEastAsia"/>
                <w:sz w:val="24"/>
                <w:szCs w:val="24"/>
                <w:vertAlign w:val="baseline"/>
                <w:lang w:val="en-US" w:eastAsia="zh-CN"/>
              </w:rPr>
            </w:pPr>
          </w:p>
        </w:tc>
        <w:tc>
          <w:tcPr>
            <w:tcW w:w="2589" w:type="dxa"/>
            <w:vAlign w:val="center"/>
          </w:tcPr>
          <w:p w14:paraId="4640699E">
            <w:pPr>
              <w:jc w:val="center"/>
              <w:rPr>
                <w:vertAlign w:val="baseline"/>
              </w:rPr>
            </w:pPr>
          </w:p>
        </w:tc>
        <w:tc>
          <w:tcPr>
            <w:tcW w:w="2589" w:type="dxa"/>
            <w:vAlign w:val="center"/>
          </w:tcPr>
          <w:p w14:paraId="06702391">
            <w:pPr>
              <w:jc w:val="center"/>
              <w:rPr>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jc w:val="center"/>
            </w:pPr>
          </w:p>
        </w:tc>
        <w:tc>
          <w:tcPr>
            <w:tcW w:w="2971" w:type="dxa"/>
            <w:vAlign w:val="center"/>
          </w:tcPr>
          <w:p w14:paraId="34E0419D">
            <w:pPr>
              <w:jc w:val="center"/>
            </w:pPr>
          </w:p>
        </w:tc>
        <w:tc>
          <w:tcPr>
            <w:tcW w:w="2818" w:type="dxa"/>
            <w:vAlign w:val="center"/>
          </w:tcPr>
          <w:p w14:paraId="0129EAC5">
            <w:pPr>
              <w:jc w:val="center"/>
              <w:rPr>
                <w:rFonts w:hint="default" w:eastAsiaTheme="minorEastAsia"/>
                <w:vertAlign w:val="baseline"/>
                <w:lang w:val="en-US" w:eastAsia="zh-CN"/>
              </w:rPr>
            </w:pPr>
          </w:p>
        </w:tc>
        <w:tc>
          <w:tcPr>
            <w:tcW w:w="2589" w:type="dxa"/>
            <w:vAlign w:val="center"/>
          </w:tcPr>
          <w:p w14:paraId="5ACA2086">
            <w:pPr>
              <w:jc w:val="center"/>
              <w:rPr>
                <w:rFonts w:hint="eastAsia"/>
                <w:b/>
                <w:bCs/>
                <w:vertAlign w:val="baseline"/>
                <w:lang w:val="en-US" w:eastAsia="zh-CN"/>
              </w:rPr>
            </w:pPr>
          </w:p>
        </w:tc>
        <w:tc>
          <w:tcPr>
            <w:tcW w:w="2589" w:type="dxa"/>
            <w:vAlign w:val="center"/>
          </w:tcPr>
          <w:p w14:paraId="39EE5049">
            <w:pPr>
              <w:jc w:val="center"/>
              <w:rPr>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10098FC1">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spacing w:line="360" w:lineRule="exact"/>
              <w:jc w:val="center"/>
              <w:rPr>
                <w:rFonts w:ascii="宋体" w:hAnsi="宋体" w:cs="宋体"/>
                <w:color w:val="000000"/>
                <w:sz w:val="22"/>
              </w:rPr>
            </w:pPr>
          </w:p>
        </w:tc>
        <w:tc>
          <w:tcPr>
            <w:tcW w:w="7013" w:type="dxa"/>
            <w:gridSpan w:val="2"/>
            <w:vAlign w:val="center"/>
          </w:tcPr>
          <w:p w14:paraId="71613BE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6ECA27D">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51819FCE">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spacing w:line="360" w:lineRule="exact"/>
              <w:rPr>
                <w:rFonts w:ascii="宋体" w:hAnsi="宋体" w:cs="宋体"/>
                <w:bCs/>
                <w:color w:val="000000"/>
                <w:kern w:val="0"/>
                <w:sz w:val="24"/>
                <w:lang w:bidi="ar"/>
              </w:rPr>
            </w:pPr>
          </w:p>
        </w:tc>
        <w:tc>
          <w:tcPr>
            <w:tcW w:w="1041" w:type="dxa"/>
            <w:vAlign w:val="center"/>
          </w:tcPr>
          <w:p w14:paraId="226A1CD3">
            <w:pPr>
              <w:spacing w:line="360" w:lineRule="exact"/>
              <w:jc w:val="center"/>
              <w:rPr>
                <w:rFonts w:ascii="宋体" w:hAnsi="宋体" w:cs="宋体"/>
                <w:bCs/>
                <w:color w:val="000000"/>
                <w:kern w:val="0"/>
                <w:sz w:val="24"/>
                <w:lang w:bidi="ar"/>
              </w:rPr>
            </w:pPr>
          </w:p>
        </w:tc>
        <w:tc>
          <w:tcPr>
            <w:tcW w:w="779" w:type="dxa"/>
            <w:vAlign w:val="center"/>
          </w:tcPr>
          <w:p w14:paraId="1DDDB6A5">
            <w:pPr>
              <w:spacing w:line="360" w:lineRule="exact"/>
              <w:jc w:val="center"/>
              <w:rPr>
                <w:rFonts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C5AF3EE">
            <w:pPr>
              <w:widowControl/>
              <w:rPr>
                <w:rFonts w:ascii="宋体" w:hAnsi="宋体" w:eastAsia="宋体" w:cs="宋体"/>
                <w:color w:val="000000"/>
                <w:sz w:val="24"/>
                <w:szCs w:val="22"/>
              </w:rPr>
            </w:pPr>
          </w:p>
        </w:tc>
        <w:tc>
          <w:tcPr>
            <w:tcW w:w="5371" w:type="dxa"/>
            <w:vAlign w:val="center"/>
          </w:tcPr>
          <w:p w14:paraId="50E39D70">
            <w:pPr>
              <w:widowControl/>
              <w:rPr>
                <w:rFonts w:ascii="宋体" w:hAnsi="宋体" w:eastAsia="宋体" w:cs="宋体"/>
                <w:color w:val="000000"/>
                <w:sz w:val="24"/>
                <w:szCs w:val="22"/>
                <w:highlight w:val="green"/>
              </w:rPr>
            </w:pPr>
          </w:p>
        </w:tc>
        <w:tc>
          <w:tcPr>
            <w:tcW w:w="4113" w:type="dxa"/>
            <w:vAlign w:val="center"/>
          </w:tcPr>
          <w:p w14:paraId="1C54C7CB">
            <w:pPr>
              <w:spacing w:line="360" w:lineRule="exact"/>
              <w:rPr>
                <w:rFonts w:ascii="宋体" w:hAnsi="宋体" w:cs="宋体"/>
                <w:bCs/>
                <w:color w:val="000000"/>
                <w:kern w:val="0"/>
                <w:sz w:val="24"/>
                <w:lang w:bidi="ar"/>
              </w:rPr>
            </w:pPr>
          </w:p>
        </w:tc>
        <w:tc>
          <w:tcPr>
            <w:tcW w:w="1041" w:type="dxa"/>
            <w:vAlign w:val="center"/>
          </w:tcPr>
          <w:p w14:paraId="2E7A23ED">
            <w:pPr>
              <w:spacing w:line="360" w:lineRule="exact"/>
              <w:jc w:val="center"/>
              <w:rPr>
                <w:rFonts w:ascii="宋体" w:hAnsi="宋体" w:cs="宋体"/>
                <w:bCs/>
                <w:color w:val="000000"/>
                <w:kern w:val="0"/>
                <w:sz w:val="24"/>
                <w:lang w:bidi="ar"/>
              </w:rPr>
            </w:pPr>
          </w:p>
        </w:tc>
        <w:tc>
          <w:tcPr>
            <w:tcW w:w="779" w:type="dxa"/>
            <w:vAlign w:val="center"/>
          </w:tcPr>
          <w:p w14:paraId="67548B05">
            <w:pPr>
              <w:spacing w:line="360" w:lineRule="exact"/>
              <w:jc w:val="center"/>
              <w:rPr>
                <w:rFonts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EA6901F">
            <w:pPr>
              <w:widowControl/>
              <w:rPr>
                <w:rFonts w:ascii="宋体" w:hAnsi="宋体" w:eastAsia="宋体" w:cs="宋体"/>
                <w:color w:val="000000"/>
                <w:sz w:val="24"/>
                <w:szCs w:val="22"/>
              </w:rPr>
            </w:pPr>
          </w:p>
        </w:tc>
        <w:tc>
          <w:tcPr>
            <w:tcW w:w="5371" w:type="dxa"/>
            <w:vAlign w:val="center"/>
          </w:tcPr>
          <w:p w14:paraId="64D1D547">
            <w:pPr>
              <w:widowControl/>
              <w:rPr>
                <w:rFonts w:ascii="宋体" w:hAnsi="宋体" w:eastAsia="宋体" w:cs="宋体"/>
                <w:color w:val="000000"/>
                <w:sz w:val="24"/>
                <w:szCs w:val="22"/>
                <w:highlight w:val="green"/>
              </w:rPr>
            </w:pPr>
          </w:p>
        </w:tc>
        <w:tc>
          <w:tcPr>
            <w:tcW w:w="4113" w:type="dxa"/>
            <w:vAlign w:val="center"/>
          </w:tcPr>
          <w:p w14:paraId="283624F7">
            <w:pPr>
              <w:spacing w:line="360" w:lineRule="exact"/>
              <w:rPr>
                <w:rFonts w:ascii="宋体" w:hAnsi="宋体" w:cs="宋体"/>
                <w:bCs/>
                <w:color w:val="000000"/>
                <w:kern w:val="0"/>
                <w:sz w:val="24"/>
                <w:lang w:bidi="ar"/>
              </w:rPr>
            </w:pPr>
          </w:p>
        </w:tc>
        <w:tc>
          <w:tcPr>
            <w:tcW w:w="1041" w:type="dxa"/>
            <w:vAlign w:val="center"/>
          </w:tcPr>
          <w:p w14:paraId="73A75B1F">
            <w:pPr>
              <w:spacing w:line="360" w:lineRule="exact"/>
              <w:jc w:val="center"/>
              <w:rPr>
                <w:rFonts w:ascii="宋体" w:hAnsi="宋体" w:cs="宋体"/>
                <w:bCs/>
                <w:color w:val="000000"/>
                <w:kern w:val="0"/>
                <w:sz w:val="24"/>
                <w:lang w:bidi="ar"/>
              </w:rPr>
            </w:pPr>
          </w:p>
        </w:tc>
        <w:tc>
          <w:tcPr>
            <w:tcW w:w="779" w:type="dxa"/>
            <w:vAlign w:val="center"/>
          </w:tcPr>
          <w:p w14:paraId="25BD0114">
            <w:pPr>
              <w:spacing w:line="360" w:lineRule="exact"/>
              <w:jc w:val="center"/>
              <w:rPr>
                <w:rFonts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1C0057F">
            <w:pPr>
              <w:widowControl/>
              <w:rPr>
                <w:rFonts w:ascii="宋体" w:hAnsi="宋体" w:eastAsia="宋体" w:cs="宋体"/>
                <w:color w:val="000000"/>
                <w:sz w:val="24"/>
                <w:szCs w:val="22"/>
              </w:rPr>
            </w:pPr>
          </w:p>
        </w:tc>
        <w:tc>
          <w:tcPr>
            <w:tcW w:w="5371" w:type="dxa"/>
            <w:vAlign w:val="center"/>
          </w:tcPr>
          <w:p w14:paraId="7F371826">
            <w:pPr>
              <w:widowControl/>
              <w:rPr>
                <w:rFonts w:ascii="宋体" w:hAnsi="宋体" w:eastAsia="宋体" w:cs="宋体"/>
                <w:color w:val="000000"/>
                <w:sz w:val="24"/>
                <w:szCs w:val="22"/>
                <w:highlight w:val="green"/>
              </w:rPr>
            </w:pPr>
          </w:p>
        </w:tc>
        <w:tc>
          <w:tcPr>
            <w:tcW w:w="4113" w:type="dxa"/>
            <w:vAlign w:val="center"/>
          </w:tcPr>
          <w:p w14:paraId="6EC816BB">
            <w:pPr>
              <w:spacing w:line="360" w:lineRule="exact"/>
              <w:rPr>
                <w:rFonts w:ascii="宋体" w:hAnsi="宋体" w:cs="宋体"/>
                <w:bCs/>
                <w:color w:val="000000"/>
                <w:kern w:val="0"/>
                <w:sz w:val="24"/>
                <w:lang w:bidi="ar"/>
              </w:rPr>
            </w:pPr>
          </w:p>
        </w:tc>
        <w:tc>
          <w:tcPr>
            <w:tcW w:w="1041" w:type="dxa"/>
            <w:vAlign w:val="center"/>
          </w:tcPr>
          <w:p w14:paraId="6496DC1E">
            <w:pPr>
              <w:spacing w:line="360" w:lineRule="exact"/>
              <w:jc w:val="center"/>
              <w:rPr>
                <w:rFonts w:ascii="宋体" w:hAnsi="宋体" w:cs="宋体"/>
                <w:bCs/>
                <w:color w:val="000000"/>
                <w:kern w:val="0"/>
                <w:sz w:val="24"/>
                <w:lang w:bidi="ar"/>
              </w:rPr>
            </w:pPr>
          </w:p>
        </w:tc>
        <w:tc>
          <w:tcPr>
            <w:tcW w:w="779" w:type="dxa"/>
            <w:vAlign w:val="center"/>
          </w:tcPr>
          <w:p w14:paraId="678E4036">
            <w:pPr>
              <w:spacing w:line="360" w:lineRule="exact"/>
              <w:jc w:val="center"/>
              <w:rPr>
                <w:rFonts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0E5FF6">
            <w:pPr>
              <w:widowControl/>
              <w:rPr>
                <w:rFonts w:ascii="宋体" w:hAnsi="宋体" w:eastAsia="宋体" w:cs="宋体"/>
                <w:color w:val="000000"/>
                <w:sz w:val="24"/>
                <w:szCs w:val="22"/>
              </w:rPr>
            </w:pPr>
          </w:p>
        </w:tc>
        <w:tc>
          <w:tcPr>
            <w:tcW w:w="5371" w:type="dxa"/>
          </w:tcPr>
          <w:p w14:paraId="6A9DADCF">
            <w:pPr>
              <w:spacing w:line="380" w:lineRule="exact"/>
              <w:rPr>
                <w:rFonts w:ascii="宋体" w:hAnsi="宋体" w:eastAsia="宋体"/>
                <w:sz w:val="24"/>
              </w:rPr>
            </w:pPr>
          </w:p>
        </w:tc>
        <w:tc>
          <w:tcPr>
            <w:tcW w:w="4113" w:type="dxa"/>
            <w:vAlign w:val="center"/>
          </w:tcPr>
          <w:p w14:paraId="7FCE8585">
            <w:pPr>
              <w:spacing w:line="360" w:lineRule="exact"/>
              <w:rPr>
                <w:rFonts w:ascii="宋体" w:hAnsi="宋体" w:cs="宋体"/>
                <w:bCs/>
                <w:color w:val="000000"/>
                <w:kern w:val="0"/>
                <w:sz w:val="24"/>
                <w:lang w:bidi="ar"/>
              </w:rPr>
            </w:pPr>
          </w:p>
        </w:tc>
        <w:tc>
          <w:tcPr>
            <w:tcW w:w="1041" w:type="dxa"/>
            <w:vAlign w:val="center"/>
          </w:tcPr>
          <w:p w14:paraId="7B9AA924">
            <w:pPr>
              <w:spacing w:line="360" w:lineRule="exact"/>
              <w:jc w:val="center"/>
              <w:rPr>
                <w:rFonts w:ascii="宋体" w:hAnsi="宋体" w:cs="宋体"/>
                <w:bCs/>
                <w:color w:val="000000"/>
                <w:kern w:val="0"/>
                <w:sz w:val="24"/>
                <w:lang w:bidi="ar"/>
              </w:rPr>
            </w:pPr>
          </w:p>
        </w:tc>
        <w:tc>
          <w:tcPr>
            <w:tcW w:w="779" w:type="dxa"/>
            <w:vAlign w:val="center"/>
          </w:tcPr>
          <w:p w14:paraId="4D1FD1F2">
            <w:pPr>
              <w:spacing w:line="360" w:lineRule="exact"/>
              <w:jc w:val="center"/>
              <w:rPr>
                <w:rFonts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70AF61AB">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6B6618DA">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6951A94"/>
    <w:rsid w:val="083855E2"/>
    <w:rsid w:val="0D3D333E"/>
    <w:rsid w:val="109151D3"/>
    <w:rsid w:val="12333415"/>
    <w:rsid w:val="12A17E73"/>
    <w:rsid w:val="12A71345"/>
    <w:rsid w:val="15761F97"/>
    <w:rsid w:val="16DC514E"/>
    <w:rsid w:val="1B7522C2"/>
    <w:rsid w:val="1DA81E22"/>
    <w:rsid w:val="1F640A9F"/>
    <w:rsid w:val="204E4C4A"/>
    <w:rsid w:val="20AE24A9"/>
    <w:rsid w:val="22682C67"/>
    <w:rsid w:val="23CA7FFF"/>
    <w:rsid w:val="24045AE0"/>
    <w:rsid w:val="248957D4"/>
    <w:rsid w:val="277548C5"/>
    <w:rsid w:val="285F540B"/>
    <w:rsid w:val="2BB75A33"/>
    <w:rsid w:val="2CAA14D5"/>
    <w:rsid w:val="32433C69"/>
    <w:rsid w:val="34732D57"/>
    <w:rsid w:val="347445FE"/>
    <w:rsid w:val="3C9A7D47"/>
    <w:rsid w:val="3DA97B7A"/>
    <w:rsid w:val="43B15138"/>
    <w:rsid w:val="453F3B2A"/>
    <w:rsid w:val="46E46CF4"/>
    <w:rsid w:val="4A396D64"/>
    <w:rsid w:val="4C790E79"/>
    <w:rsid w:val="52391786"/>
    <w:rsid w:val="52BC6534"/>
    <w:rsid w:val="59DE4A87"/>
    <w:rsid w:val="5A703793"/>
    <w:rsid w:val="5FA03CAB"/>
    <w:rsid w:val="62D7176F"/>
    <w:rsid w:val="62DC6FF8"/>
    <w:rsid w:val="63430101"/>
    <w:rsid w:val="69915242"/>
    <w:rsid w:val="6A1E213E"/>
    <w:rsid w:val="6C125B39"/>
    <w:rsid w:val="6C7D312C"/>
    <w:rsid w:val="6F4A3F0E"/>
    <w:rsid w:val="71F238C8"/>
    <w:rsid w:val="72783DCD"/>
    <w:rsid w:val="74DE215F"/>
    <w:rsid w:val="7512151E"/>
    <w:rsid w:val="79E45ACB"/>
    <w:rsid w:val="7BA1320A"/>
    <w:rsid w:val="7D830DFE"/>
    <w:rsid w:val="7D8C1EBA"/>
    <w:rsid w:val="7EDA06A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5583</Words>
  <Characters>5739</Characters>
  <Lines>56</Lines>
  <Paragraphs>15</Paragraphs>
  <TotalTime>2</TotalTime>
  <ScaleCrop>false</ScaleCrop>
  <LinksUpToDate>false</LinksUpToDate>
  <CharactersWithSpaces>6416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2024-10-30T08:58:19Z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DFB3DF292FC741489383F294103268EC_13</vt:lpwstr>
  </property>
</Properties>
</file>