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2"/>
        <w:rPr>
          <w:lang w:val="zh-CN"/>
        </w:rPr>
      </w:pPr>
    </w:p>
    <w:p w14:paraId="166CB39B">
      <w:pPr>
        <w:rPr>
          <w:lang w:val="zh-CN"/>
        </w:rPr>
      </w:pPr>
    </w:p>
    <w:p w14:paraId="580399D2">
      <w:pPr>
        <w:autoSpaceDE w:val="0"/>
        <w:autoSpaceDN w:val="0"/>
        <w:adjustRightInd w:val="0"/>
        <w:jc w:val="center"/>
        <w:rPr>
          <w:rFonts w:hint="eastAsia" w:ascii="黑体" w:hAnsi="黑体" w:eastAsia="黑体" w:cs="黑体"/>
          <w:b/>
          <w:bCs/>
          <w:color w:val="000000"/>
          <w:sz w:val="52"/>
          <w:szCs w:val="52"/>
          <w:lang w:val="zh-CN"/>
        </w:rPr>
      </w:pPr>
      <w:r>
        <w:rPr>
          <w:rFonts w:hint="eastAsia" w:ascii="黑体" w:hAnsi="黑体" w:eastAsia="黑体" w:cs="黑体"/>
          <w:b/>
          <w:bCs/>
          <w:color w:val="000000"/>
          <w:sz w:val="52"/>
          <w:szCs w:val="52"/>
          <w:lang w:val="zh-CN"/>
        </w:rPr>
        <w:t>涡阳县人民医院</w:t>
      </w:r>
    </w:p>
    <w:p w14:paraId="69185BC0">
      <w:pPr>
        <w:pStyle w:val="12"/>
        <w:rPr>
          <w:rFonts w:hint="eastAsia" w:ascii="黑体" w:hAnsi="黑体" w:eastAsia="黑体" w:cs="黑体"/>
          <w:b/>
          <w:bCs/>
          <w:color w:val="000000"/>
          <w:sz w:val="52"/>
          <w:szCs w:val="52"/>
          <w:lang w:val="en-US" w:eastAsia="zh-CN"/>
        </w:rPr>
      </w:pPr>
      <w:r>
        <w:rPr>
          <w:rFonts w:hint="eastAsia" w:ascii="黑体" w:hAnsi="黑体" w:eastAsia="黑体" w:cs="黑体"/>
          <w:b/>
          <w:bCs/>
          <w:color w:val="000000"/>
          <w:sz w:val="52"/>
          <w:szCs w:val="52"/>
          <w:lang w:val="en-US" w:eastAsia="zh-CN"/>
        </w:rPr>
        <w:t>改扩建项目测绘服务项目</w:t>
      </w:r>
    </w:p>
    <w:p w14:paraId="276331CA">
      <w:pPr>
        <w:rPr>
          <w:rFonts w:hint="default"/>
          <w:lang w:val="en-US"/>
        </w:rPr>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12</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7"/>
        <w:ind w:firstLine="640"/>
        <w:rPr>
          <w:rFonts w:ascii="仿宋_GB2312" w:eastAsia="仿宋_GB2312"/>
          <w:szCs w:val="36"/>
        </w:rPr>
      </w:pPr>
    </w:p>
    <w:p w14:paraId="69E9A51B">
      <w:pPr>
        <w:pStyle w:val="7"/>
        <w:ind w:firstLine="640"/>
        <w:rPr>
          <w:rFonts w:ascii="仿宋_GB2312" w:eastAsia="仿宋_GB2312"/>
          <w:szCs w:val="36"/>
        </w:rPr>
      </w:pPr>
    </w:p>
    <w:p w14:paraId="62937A5A">
      <w:pPr>
        <w:pStyle w:val="7"/>
        <w:ind w:firstLine="640"/>
        <w:rPr>
          <w:rFonts w:ascii="仿宋_GB2312" w:eastAsia="仿宋_GB2312"/>
          <w:szCs w:val="36"/>
        </w:rPr>
      </w:pPr>
    </w:p>
    <w:p w14:paraId="49CD4BCD">
      <w:pPr>
        <w:pStyle w:val="7"/>
        <w:ind w:firstLine="640"/>
        <w:rPr>
          <w:rFonts w:ascii="仿宋_GB2312" w:eastAsia="仿宋_GB2312"/>
          <w:szCs w:val="36"/>
        </w:rPr>
      </w:pPr>
    </w:p>
    <w:p w14:paraId="4B9190A0">
      <w:pPr>
        <w:pStyle w:val="7"/>
        <w:ind w:firstLine="640"/>
        <w:rPr>
          <w:rFonts w:ascii="仿宋_GB2312" w:eastAsia="仿宋_GB2312"/>
          <w:szCs w:val="36"/>
        </w:rPr>
      </w:pPr>
    </w:p>
    <w:p w14:paraId="3DD75B85">
      <w:pPr>
        <w:pStyle w:val="7"/>
        <w:rPr>
          <w:rFonts w:ascii="仿宋_GB2312" w:eastAsia="仿宋_GB2312"/>
          <w:szCs w:val="36"/>
        </w:rPr>
      </w:pPr>
    </w:p>
    <w:p w14:paraId="1B59E0B7">
      <w:pPr>
        <w:pStyle w:val="7"/>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月</w:t>
      </w:r>
    </w:p>
    <w:p w14:paraId="7AC51430">
      <w:pPr>
        <w:pStyle w:val="7"/>
        <w:ind w:firstLine="602"/>
        <w:rPr>
          <w:rFonts w:ascii="宋体" w:hAnsi="宋体" w:cs="宋体"/>
          <w:b/>
          <w:color w:val="000000"/>
          <w:sz w:val="30"/>
          <w:szCs w:val="30"/>
        </w:rPr>
      </w:pPr>
    </w:p>
    <w:p w14:paraId="56E97979">
      <w:pPr>
        <w:pStyle w:val="7"/>
        <w:ind w:firstLine="602"/>
        <w:rPr>
          <w:rFonts w:ascii="宋体" w:hAnsi="宋体" w:cs="宋体"/>
          <w:b/>
          <w:color w:val="000000"/>
          <w:sz w:val="30"/>
          <w:szCs w:val="30"/>
        </w:rPr>
      </w:pPr>
    </w:p>
    <w:p w14:paraId="74019B2C">
      <w:pPr>
        <w:pStyle w:val="7"/>
        <w:ind w:firstLine="602"/>
        <w:rPr>
          <w:rFonts w:ascii="宋体" w:hAnsi="宋体" w:cs="宋体"/>
          <w:b/>
          <w:color w:val="000000"/>
          <w:sz w:val="30"/>
          <w:szCs w:val="30"/>
        </w:rPr>
      </w:pPr>
    </w:p>
    <w:p w14:paraId="21E317E6"/>
    <w:p w14:paraId="0893B15B">
      <w:pPr>
        <w:pStyle w:val="13"/>
        <w:widowControl/>
        <w:spacing w:beforeAutospacing="0" w:afterAutospacing="0" w:line="400" w:lineRule="exact"/>
        <w:ind w:firstLine="723" w:firstLineChars="200"/>
        <w:rPr>
          <w:rFonts w:ascii="宋体" w:hAnsi="宋体" w:eastAsia="宋体" w:cs="等线"/>
          <w:b/>
          <w:bCs/>
          <w:sz w:val="32"/>
          <w:szCs w:val="32"/>
        </w:rPr>
      </w:pPr>
      <w:r>
        <w:rPr>
          <w:rFonts w:hint="eastAsia" w:ascii="黑体" w:hAnsi="黑体" w:eastAsia="黑体" w:cs="黑体"/>
          <w:b/>
          <w:bCs/>
          <w:sz w:val="36"/>
          <w:szCs w:val="36"/>
        </w:rPr>
        <w:t>涡阳县人民医院</w:t>
      </w:r>
      <w:r>
        <w:rPr>
          <w:rFonts w:hint="eastAsia" w:ascii="黑体" w:hAnsi="黑体" w:eastAsia="黑体" w:cs="黑体"/>
          <w:b/>
          <w:bCs/>
          <w:sz w:val="36"/>
          <w:szCs w:val="36"/>
          <w:lang w:eastAsia="zh-CN"/>
        </w:rPr>
        <w:t xml:space="preserve"> 改扩建项目测绘服务项目</w:t>
      </w:r>
    </w:p>
    <w:p w14:paraId="31B2E01A">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5DAFD3B2">
      <w:pPr>
        <w:pStyle w:val="13"/>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改扩建项目测绘服务项目</w:t>
      </w:r>
    </w:p>
    <w:p w14:paraId="5DC34753">
      <w:pPr>
        <w:pStyle w:val="13"/>
        <w:widowControl/>
        <w:spacing w:beforeAutospacing="0" w:afterAutospacing="0" w:line="400" w:lineRule="exact"/>
        <w:ind w:firstLine="480" w:firstLineChars="200"/>
        <w:rPr>
          <w:rFonts w:hint="default" w:ascii="宋体" w:hAnsi="宋体" w:eastAsia="宋体" w:cs="等线"/>
          <w:szCs w:val="32"/>
          <w:lang w:val="en-US"/>
        </w:rPr>
      </w:pPr>
      <w:r>
        <w:rPr>
          <w:rFonts w:hint="eastAsia" w:ascii="宋体" w:hAnsi="宋体" w:eastAsia="宋体" w:cs="等线"/>
          <w:szCs w:val="32"/>
        </w:rPr>
        <w:t>2、招标编号：GYZC-202</w:t>
      </w:r>
      <w:r>
        <w:rPr>
          <w:rFonts w:hint="eastAsia" w:ascii="宋体" w:hAnsi="宋体" w:eastAsia="宋体" w:cs="等线"/>
          <w:szCs w:val="32"/>
          <w:lang w:val="en-US" w:eastAsia="zh-CN"/>
        </w:rPr>
        <w:t>5</w:t>
      </w:r>
      <w:r>
        <w:rPr>
          <w:rFonts w:hint="eastAsia" w:ascii="宋体" w:hAnsi="宋体" w:eastAsia="宋体" w:cs="等线"/>
          <w:szCs w:val="32"/>
        </w:rPr>
        <w:t>-0</w:t>
      </w:r>
      <w:r>
        <w:rPr>
          <w:rFonts w:hint="eastAsia" w:ascii="宋体" w:hAnsi="宋体" w:eastAsia="宋体" w:cs="等线"/>
          <w:szCs w:val="32"/>
          <w:lang w:val="en-US" w:eastAsia="zh-CN"/>
        </w:rPr>
        <w:t>12号</w:t>
      </w:r>
    </w:p>
    <w:p w14:paraId="1FCB34E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20000</w:t>
      </w:r>
      <w:r>
        <w:rPr>
          <w:rFonts w:hint="eastAsia" w:ascii="宋体" w:hAnsi="宋体" w:eastAsia="宋体" w:cs="等线"/>
          <w:b/>
          <w:bCs/>
          <w:szCs w:val="32"/>
        </w:rPr>
        <w:t>元</w:t>
      </w:r>
    </w:p>
    <w:p w14:paraId="05ED75C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20000</w:t>
      </w:r>
      <w:r>
        <w:rPr>
          <w:rFonts w:hint="eastAsia" w:ascii="宋体" w:hAnsi="宋体" w:eastAsia="宋体" w:cs="等线"/>
          <w:b/>
          <w:bCs/>
          <w:szCs w:val="32"/>
        </w:rPr>
        <w:t>元</w:t>
      </w:r>
    </w:p>
    <w:p w14:paraId="29C65F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9"/>
        <w:spacing w:line="400" w:lineRule="exact"/>
        <w:ind w:firstLine="480"/>
        <w:rPr>
          <w:rFonts w:hint="eastAsia" w:ascii="宋体" w:hAnsi="宋体" w:eastAsia="宋体" w:cs="等线"/>
          <w:sz w:val="24"/>
          <w:szCs w:val="32"/>
          <w:lang w:val="en-US" w:eastAsia="zh-CN"/>
        </w:rPr>
      </w:pPr>
      <w:r>
        <w:rPr>
          <w:rFonts w:hint="eastAsia" w:ascii="宋体" w:hAnsi="宋体" w:eastAsia="宋体" w:cs="等线"/>
          <w:sz w:val="24"/>
          <w:szCs w:val="32"/>
        </w:rPr>
        <w:t>7、招标范围：</w:t>
      </w:r>
      <w:r>
        <w:rPr>
          <w:rFonts w:hint="eastAsia" w:ascii="宋体" w:hAnsi="宋体" w:eastAsia="宋体" w:cs="等线"/>
          <w:sz w:val="24"/>
          <w:szCs w:val="32"/>
          <w:lang w:val="en-US" w:eastAsia="zh-CN"/>
        </w:rPr>
        <w:t>根据涡阳县人民医院的需求，现拟请第三方专业服务单位为我院提供现场测绘服务，通过精确测量现场的地理特征和建筑结构，为我院提供详尽的数据和信息，提供高质量、高效率的测绘服务，出具测绘成果，并协助办理项目核实证书及不动产证。</w:t>
      </w:r>
    </w:p>
    <w:p w14:paraId="77BA7C5A">
      <w:pPr>
        <w:pStyle w:val="13"/>
        <w:widowControl/>
        <w:spacing w:beforeAutospacing="0" w:afterAutospacing="0" w:line="400" w:lineRule="exact"/>
        <w:ind w:firstLine="480" w:firstLineChars="200"/>
        <w:rPr>
          <w:rFonts w:hint="default" w:ascii="宋体" w:hAnsi="宋体" w:eastAsia="宋体" w:cs="等线"/>
          <w:kern w:val="2"/>
          <w:sz w:val="24"/>
          <w:szCs w:val="32"/>
          <w:lang w:val="en-US" w:eastAsia="zh-CN" w:bidi="ar-SA"/>
        </w:rPr>
      </w:pPr>
      <w:r>
        <w:rPr>
          <w:rFonts w:hint="eastAsia" w:ascii="宋体" w:hAnsi="宋体" w:eastAsia="宋体" w:cs="等线"/>
          <w:szCs w:val="32"/>
        </w:rPr>
        <w:t>8</w:t>
      </w:r>
      <w:r>
        <w:rPr>
          <w:rFonts w:hint="eastAsia" w:ascii="宋体" w:hAnsi="宋体" w:eastAsia="宋体" w:cs="等线"/>
          <w:kern w:val="2"/>
          <w:sz w:val="24"/>
          <w:szCs w:val="32"/>
          <w:lang w:val="en-US" w:eastAsia="zh-CN" w:bidi="ar-SA"/>
        </w:rPr>
        <w:t>、完成期限：自合同签订之日起10天以纸质形式向客户提交测绘成果物。</w:t>
      </w:r>
    </w:p>
    <w:p w14:paraId="5A9FBF95">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3EC746FF">
      <w:pPr>
        <w:spacing w:line="400" w:lineRule="exact"/>
        <w:ind w:firstLine="480" w:firstLineChars="200"/>
        <w:rPr>
          <w:rFonts w:ascii="宋体" w:hAnsi="宋体" w:eastAsia="宋体" w:cs="等线"/>
          <w:color w:val="auto"/>
          <w:sz w:val="24"/>
          <w:szCs w:val="32"/>
          <w:highlight w:val="none"/>
        </w:rPr>
      </w:pPr>
      <w:r>
        <w:rPr>
          <w:rFonts w:ascii="宋体" w:hAnsi="宋体" w:eastAsia="宋体" w:cs="等线"/>
          <w:color w:val="auto"/>
          <w:sz w:val="24"/>
          <w:szCs w:val="32"/>
          <w:highlight w:val="none"/>
        </w:rPr>
        <w:t>5、本项目的特定资格要求：</w:t>
      </w:r>
    </w:p>
    <w:p w14:paraId="48943C53">
      <w:pPr>
        <w:spacing w:line="400" w:lineRule="exact"/>
        <w:ind w:firstLine="480" w:firstLineChars="200"/>
        <w:rPr>
          <w:rFonts w:hint="default" w:ascii="宋体" w:hAnsi="宋体" w:eastAsia="宋体" w:cs="等线"/>
          <w:color w:val="auto"/>
          <w:sz w:val="24"/>
          <w:szCs w:val="32"/>
          <w:highlight w:val="none"/>
          <w:lang w:val="en-US" w:eastAsia="zh-CN"/>
        </w:rPr>
      </w:pPr>
      <w:r>
        <w:rPr>
          <w:rFonts w:hint="eastAsia" w:ascii="宋体" w:hAnsi="宋体" w:eastAsia="宋体" w:cs="等线"/>
          <w:color w:val="auto"/>
          <w:sz w:val="24"/>
          <w:szCs w:val="32"/>
          <w:highlight w:val="none"/>
          <w:lang w:val="en-US" w:eastAsia="zh-CN"/>
        </w:rPr>
        <w:t>2022年1月1日以来至少一个建设项目测绘服务类业绩</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3</w:t>
      </w:r>
      <w:r>
        <w:rPr>
          <w:rFonts w:hint="eastAsia" w:ascii="宋体" w:hAnsi="宋体" w:eastAsia="宋体" w:cs="等线"/>
          <w:szCs w:val="32"/>
        </w:rPr>
        <w:t>月</w:t>
      </w:r>
      <w:r>
        <w:rPr>
          <w:rFonts w:hint="eastAsia" w:ascii="宋体" w:hAnsi="宋体" w:eastAsia="宋体" w:cs="等线"/>
          <w:szCs w:val="32"/>
          <w:lang w:val="en-US" w:eastAsia="zh-CN"/>
        </w:rPr>
        <w:t>26</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3</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26</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基建科张</w:t>
      </w:r>
      <w:r>
        <w:rPr>
          <w:rFonts w:hint="eastAsia" w:ascii="宋体" w:hAnsi="宋体" w:eastAsia="宋体"/>
          <w:kern w:val="2"/>
        </w:rPr>
        <w:t>老师：</w:t>
      </w:r>
      <w:r>
        <w:rPr>
          <w:rFonts w:hint="eastAsia" w:ascii="宋体" w:hAnsi="宋体"/>
          <w:sz w:val="24"/>
          <w:szCs w:val="24"/>
        </w:rPr>
        <w:t>138</w:t>
      </w:r>
      <w:r>
        <w:rPr>
          <w:rFonts w:hint="eastAsia" w:ascii="宋体" w:hAnsi="宋体"/>
          <w:sz w:val="24"/>
          <w:szCs w:val="24"/>
          <w:lang w:val="en-US" w:eastAsia="zh-CN"/>
        </w:rPr>
        <w:t xml:space="preserve"> </w:t>
      </w:r>
      <w:r>
        <w:rPr>
          <w:rFonts w:hint="eastAsia" w:ascii="宋体" w:hAnsi="宋体"/>
          <w:sz w:val="24"/>
          <w:szCs w:val="24"/>
        </w:rPr>
        <w:t>5681</w:t>
      </w:r>
      <w:r>
        <w:rPr>
          <w:rFonts w:hint="eastAsia" w:ascii="宋体" w:hAnsi="宋体"/>
          <w:sz w:val="24"/>
          <w:szCs w:val="24"/>
          <w:lang w:val="en-US" w:eastAsia="zh-CN"/>
        </w:rPr>
        <w:t xml:space="preserve"> </w:t>
      </w:r>
      <w:r>
        <w:rPr>
          <w:rFonts w:hint="eastAsia" w:ascii="宋体" w:hAnsi="宋体"/>
          <w:sz w:val="24"/>
          <w:szCs w:val="24"/>
        </w:rPr>
        <w:t>7568</w:t>
      </w:r>
    </w:p>
    <w:p w14:paraId="6709F9A6">
      <w:pPr>
        <w:pStyle w:val="13"/>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3"/>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ECEBB9B">
      <w:pPr>
        <w:pStyle w:val="13"/>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01B0E1E1">
      <w:pPr>
        <w:pStyle w:val="12"/>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w:t>
      </w:r>
    </w:p>
    <w:p w14:paraId="16926901">
      <w:pPr>
        <w:pStyle w:val="12"/>
        <w:rPr>
          <w:rFonts w:hint="eastAsia" w:ascii="黑体" w:hAnsi="黑体" w:eastAsia="黑体" w:cs="黑体"/>
          <w:lang w:val="en-US" w:eastAsia="zh-CN"/>
        </w:rPr>
      </w:pPr>
      <w:r>
        <w:rPr>
          <w:rFonts w:hint="eastAsia" w:ascii="黑体" w:hAnsi="黑体" w:eastAsia="黑体" w:cs="黑体"/>
          <w:lang w:val="en-US" w:eastAsia="zh-CN"/>
        </w:rPr>
        <w:t xml:space="preserve"> 改扩建项目测绘服务项目采购需求</w:t>
      </w:r>
    </w:p>
    <w:p w14:paraId="186617BC">
      <w:pPr>
        <w:ind w:firstLine="480"/>
        <w:rPr>
          <w:rFonts w:ascii="宋体" w:hAnsi="宋体"/>
          <w:sz w:val="24"/>
        </w:rPr>
      </w:pPr>
    </w:p>
    <w:p w14:paraId="079ECC99">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718E64DC">
      <w:pPr>
        <w:spacing w:line="400" w:lineRule="exact"/>
        <w:ind w:firstLine="480" w:firstLineChars="200"/>
        <w:rPr>
          <w:rFonts w:hint="eastAsia"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585F129">
      <w:pPr>
        <w:spacing w:line="400" w:lineRule="exact"/>
        <w:ind w:firstLine="480" w:firstLineChars="200"/>
        <w:rPr>
          <w:rFonts w:hint="eastAsia" w:ascii="宋体" w:hAnsi="宋体" w:eastAsia="宋体"/>
          <w:sz w:val="24"/>
        </w:rPr>
      </w:pPr>
      <w:r>
        <w:rPr>
          <w:rFonts w:hint="eastAsia" w:ascii="宋体" w:hAnsi="宋体" w:eastAsia="宋体"/>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A8D885D">
      <w:pPr>
        <w:spacing w:line="400" w:lineRule="exact"/>
        <w:ind w:firstLine="480" w:firstLineChars="200"/>
        <w:rPr>
          <w:rFonts w:hint="eastAsia" w:ascii="宋体" w:hAnsi="宋体" w:eastAsia="宋体"/>
          <w:sz w:val="24"/>
        </w:rPr>
      </w:pPr>
      <w:r>
        <w:rPr>
          <w:rFonts w:hint="eastAsia" w:ascii="宋体" w:hAnsi="宋体" w:eastAsia="宋体"/>
          <w:sz w:val="24"/>
        </w:rPr>
        <w:t>3、现场踏勘：采购人不组织现场踏勘，供应商应自行踏勘项目现场（</w:t>
      </w:r>
      <w:r>
        <w:rPr>
          <w:rFonts w:hint="eastAsia" w:ascii="宋体" w:hAnsi="宋体" w:eastAsia="宋体"/>
          <w:sz w:val="24"/>
          <w:lang w:val="en-US" w:eastAsia="zh-CN"/>
        </w:rPr>
        <w:t>基建科张部长13856817568</w:t>
      </w:r>
      <w:r>
        <w:rPr>
          <w:rFonts w:hint="eastAsia" w:ascii="宋体" w:hAnsi="宋体" w:eastAsia="宋体"/>
          <w:sz w:val="24"/>
        </w:rPr>
        <w:t>）。如供应商因未及时踏勘现场而导致的报价缺项漏项废标、或成交后无法完工，供应商自行承担一切后果。</w:t>
      </w:r>
    </w:p>
    <w:p w14:paraId="53ADCF40">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、如无特别说明，采购文件中所有涉及的费用货币均为人民币，价格单位均为“元”。</w:t>
      </w:r>
    </w:p>
    <w:p w14:paraId="0EB4EB7A">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5</w:t>
      </w:r>
      <w:r>
        <w:rPr>
          <w:rFonts w:hint="eastAsia" w:ascii="宋体" w:hAnsi="宋体" w:eastAsia="宋体"/>
          <w:sz w:val="24"/>
        </w:rPr>
        <w:t>、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5EB27BA3">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、质疑与澄清</w:t>
      </w:r>
    </w:p>
    <w:p w14:paraId="7D356CE2">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582FC004">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.2磋商文件的澄清、修改、补充等将在涡阳县人民医院网站“新闻动态——招投标公告”栏上发布。所有下载竞争性磋商文件的供应商须在网上自行查询，无需以纸质形式回复。</w:t>
      </w:r>
    </w:p>
    <w:p w14:paraId="676E3FD1">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bookmarkStart w:id="0" w:name="_GoBack"/>
      <w:bookmarkEnd w:id="0"/>
      <w:r>
        <w:rPr>
          <w:rFonts w:hint="eastAsia" w:ascii="宋体" w:hAnsi="宋体" w:eastAsia="宋体"/>
          <w:sz w:val="24"/>
        </w:rPr>
        <w:t>.3供应商应依法行使自己的质疑、投诉权利。对于恶意质疑、投诉、弄虚作假及其他违法违规行为的，一经查实，壹年内将禁止参与医院采购项目的投标。</w:t>
      </w:r>
    </w:p>
    <w:p w14:paraId="0FA838CD">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一、测绘范围和内容</w:t>
      </w:r>
    </w:p>
    <w:p w14:paraId="799E7ACE">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本次测绘范围为涡阳县人民医院改扩建项目所有区域，包括地理区域和建筑物。目标是准确测量并绘制出客户所需的地理特征和建筑结构的图纸和数据。测绘内容：竣工总平面图测绘、面积测算、建筑高度测算、建筑间距测算、建筑退让红线距离测算、车位尺寸个数测算及容积率、绿地率等主要经济技术指标的测算。</w:t>
      </w:r>
    </w:p>
    <w:p w14:paraId="54A71195">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二、测绘目标和需求</w:t>
      </w:r>
    </w:p>
    <w:p w14:paraId="6356A38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1、在现场进行测量工作，包括使用GPS定位技术获取地理坐标，使用激光测距仪测量建筑物参数，以及使用测量仪器进行地面测量。</w:t>
      </w:r>
    </w:p>
    <w:p w14:paraId="2667885A">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2、将测量数据导入CAD软件，进行数据处理和绘图工作，生成详细的地理特征图和建筑结构图。对绘制的图纸和数据进行验证和校对，确保其准确性和完整性。</w:t>
      </w:r>
    </w:p>
    <w:p w14:paraId="50F8650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3、向客户提交测绘成果物，包括地理特征图和建筑结构图，以及相关的测量数据和报告。</w:t>
      </w:r>
    </w:p>
    <w:p w14:paraId="09364A82">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4、成果物将以纸质形式交付给客户，也可以通过电子邮件或在线云存储服务获取。</w:t>
      </w:r>
    </w:p>
    <w:p w14:paraId="65C665D1">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三、服务保障</w:t>
      </w:r>
    </w:p>
    <w:p w14:paraId="52D95E7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1.准时交付成果物，保证项目按时完成；</w:t>
      </w:r>
    </w:p>
    <w:p w14:paraId="2E8D25BC">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2.保护客户的隐私和数据安全；</w:t>
      </w:r>
    </w:p>
    <w:p w14:paraId="4ABD0DD7">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3.负责涡阳县人民医院改扩建项目（二期）规划核实证书办理；</w:t>
      </w:r>
    </w:p>
    <w:p w14:paraId="68747D4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4.负责与规划局相关业务的对接及办理项目核实证书；</w:t>
      </w:r>
    </w:p>
    <w:p w14:paraId="7F458378">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5.并依据主管部门要求做好全面配合工作，完善相关其它资料确保能够办理不动产证。</w:t>
      </w:r>
    </w:p>
    <w:p w14:paraId="789F30F2">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6.提供后期技术支持解答客户的问题和需求；</w:t>
      </w:r>
    </w:p>
    <w:p w14:paraId="71FCD6F9">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四、其他</w:t>
      </w:r>
    </w:p>
    <w:p w14:paraId="6381659C">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测绘范围、内容、目标和需求中未列出的，而项目核实证书及不动产证登记所需要的相关测绘服务内容，均包含在本项目的总价内。成交后，采购人不再额外支付任何费用。</w:t>
      </w:r>
    </w:p>
    <w:p w14:paraId="5606E00A">
      <w:pPr>
        <w:numPr>
          <w:ilvl w:val="0"/>
          <w:numId w:val="1"/>
        </w:numPr>
        <w:spacing w:line="380" w:lineRule="exact"/>
        <w:textAlignment w:val="baseline"/>
        <w:rPr>
          <w:rFonts w:hint="eastAsia" w:ascii="宋体" w:hAnsi="宋体" w:eastAsia="宋体"/>
          <w:sz w:val="24"/>
          <w:lang w:val="en-US" w:eastAsia="zh-CN"/>
        </w:rPr>
      </w:pPr>
      <w:r>
        <w:rPr>
          <w:rFonts w:hint="eastAsia" w:ascii="宋体" w:hAnsi="宋体" w:eastAsia="宋体"/>
          <w:b/>
          <w:bCs/>
          <w:sz w:val="24"/>
          <w:lang w:val="en-US" w:eastAsia="zh-CN"/>
        </w:rPr>
        <w:t>合同服务期限</w:t>
      </w:r>
      <w:r>
        <w:rPr>
          <w:rFonts w:hint="eastAsia" w:ascii="宋体" w:hAnsi="宋体" w:eastAsia="宋体"/>
          <w:sz w:val="24"/>
          <w:lang w:val="en-US" w:eastAsia="zh-CN"/>
        </w:rPr>
        <w:t>：自合同签订之日起10天以纸质形式向客户提交测绘成果物。</w:t>
      </w:r>
    </w:p>
    <w:p w14:paraId="7A14CCA2">
      <w:pPr>
        <w:numPr>
          <w:ilvl w:val="0"/>
          <w:numId w:val="0"/>
        </w:num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六、控制价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20000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贰万元整</w:t>
      </w:r>
      <w:r>
        <w:rPr>
          <w:rFonts w:hint="eastAsia" w:ascii="宋体" w:hAnsi="宋体" w:eastAsia="宋体"/>
          <w:b/>
          <w:sz w:val="24"/>
          <w:highlight w:val="yellow"/>
        </w:rPr>
        <w:t>）。</w:t>
      </w:r>
      <w:r>
        <w:rPr>
          <w:rFonts w:hint="eastAsia" w:ascii="宋体" w:hAnsi="宋体" w:eastAsia="宋体"/>
          <w:sz w:val="24"/>
        </w:rPr>
        <w:t>高于此限价投标无效。</w:t>
      </w:r>
    </w:p>
    <w:p w14:paraId="42269AE3">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七、报价要求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p>
    <w:p w14:paraId="737E6ACC">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 xml:space="preserve">八、付款方式： </w:t>
      </w:r>
    </w:p>
    <w:p w14:paraId="35E0CEE6">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项目核实证书及不动产证下发后</w:t>
      </w:r>
      <w:r>
        <w:rPr>
          <w:rFonts w:hint="eastAsia" w:ascii="宋体" w:hAnsi="宋体" w:eastAsia="宋体"/>
          <w:color w:val="000000"/>
          <w:sz w:val="24"/>
          <w:lang w:eastAsia="zh-CN"/>
        </w:rPr>
        <w:t>，</w:t>
      </w:r>
      <w:r>
        <w:rPr>
          <w:rFonts w:hint="eastAsia" w:ascii="宋体" w:hAnsi="宋体" w:eastAsia="宋体"/>
          <w:color w:val="000000"/>
          <w:sz w:val="24"/>
        </w:rPr>
        <w:t>一次性支付全部合同价款。</w:t>
      </w:r>
    </w:p>
    <w:p w14:paraId="6F7ABD58">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九、评价方法：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1、在服务</w:t>
      </w:r>
      <w:r>
        <w:rPr>
          <w:rFonts w:hint="eastAsia" w:ascii="宋体" w:hAnsi="宋体" w:eastAsia="宋体"/>
          <w:color w:val="000000"/>
          <w:sz w:val="24"/>
          <w:lang w:eastAsia="zh-CN"/>
        </w:rPr>
        <w:t>、</w:t>
      </w:r>
      <w:r>
        <w:rPr>
          <w:rFonts w:hint="eastAsia" w:ascii="宋体" w:hAnsi="宋体" w:eastAsia="宋体"/>
          <w:color w:val="000000"/>
          <w:sz w:val="24"/>
          <w:lang w:val="en-US" w:eastAsia="zh-CN"/>
        </w:rPr>
        <w:t>售后</w:t>
      </w:r>
      <w:r>
        <w:rPr>
          <w:rFonts w:hint="eastAsia" w:ascii="宋体" w:hAnsi="宋体" w:eastAsia="宋体"/>
          <w:color w:val="000000"/>
          <w:sz w:val="24"/>
        </w:rPr>
        <w:t>相当的情况下，通过2轮以上（含2轮）报价，按</w:t>
      </w:r>
      <w:r>
        <w:rPr>
          <w:rFonts w:hint="eastAsia" w:ascii="宋体" w:hAnsi="宋体" w:eastAsia="宋体"/>
          <w:color w:val="000000"/>
          <w:sz w:val="24"/>
          <w:lang w:val="en-US" w:eastAsia="zh-CN"/>
        </w:rPr>
        <w:t>报价</w:t>
      </w:r>
      <w:r>
        <w:rPr>
          <w:rFonts w:hint="eastAsia" w:ascii="宋体" w:hAnsi="宋体" w:eastAsia="宋体"/>
          <w:color w:val="000000"/>
          <w:sz w:val="24"/>
        </w:rPr>
        <w:t>由低到高的顺序，推荐给领导小组审定后确定成交人。</w:t>
      </w:r>
    </w:p>
    <w:p w14:paraId="16D53674">
      <w:pPr>
        <w:ind w:firstLine="480"/>
        <w:rPr>
          <w:rFonts w:hint="eastAsia" w:ascii="宋体" w:hAnsi="宋体" w:eastAsia="宋体"/>
          <w:sz w:val="24"/>
          <w:highlight w:val="yellow"/>
        </w:rPr>
      </w:pPr>
      <w:r>
        <w:rPr>
          <w:rFonts w:hint="eastAsia" w:ascii="宋体" w:hAnsi="宋体" w:eastAsia="宋体"/>
          <w:sz w:val="24"/>
          <w:highlight w:val="yellow"/>
        </w:rPr>
        <w:t>2、按无效报价投标处理的情况：</w:t>
      </w:r>
    </w:p>
    <w:p w14:paraId="53568B63">
      <w:pPr>
        <w:widowControl/>
        <w:numPr>
          <w:ilvl w:val="0"/>
          <w:numId w:val="2"/>
        </w:numPr>
        <w:spacing w:line="380" w:lineRule="exact"/>
        <w:ind w:left="825" w:firstLine="15"/>
        <w:rPr>
          <w:rFonts w:hint="eastAsia" w:ascii="宋体" w:hAnsi="宋体" w:eastAsia="宋体"/>
          <w:sz w:val="24"/>
        </w:rPr>
      </w:pPr>
      <w:r>
        <w:rPr>
          <w:rFonts w:hint="eastAsia" w:ascii="宋体" w:hAnsi="宋体" w:eastAsia="宋体"/>
          <w:sz w:val="24"/>
        </w:rPr>
        <w:t>逾期送达的或者未送达指定地点的响应文件；</w:t>
      </w:r>
    </w:p>
    <w:p w14:paraId="71D87C5C">
      <w:pPr>
        <w:widowControl/>
        <w:numPr>
          <w:ilvl w:val="0"/>
          <w:numId w:val="2"/>
        </w:numPr>
        <w:spacing w:line="380" w:lineRule="exact"/>
        <w:ind w:left="825" w:firstLine="15"/>
        <w:rPr>
          <w:rFonts w:hint="eastAsia" w:ascii="宋体" w:hAnsi="宋体" w:eastAsia="宋体"/>
          <w:sz w:val="24"/>
        </w:rPr>
      </w:pPr>
      <w:r>
        <w:rPr>
          <w:rFonts w:hint="eastAsia" w:ascii="宋体" w:hAnsi="宋体" w:eastAsia="宋体"/>
          <w:sz w:val="24"/>
        </w:rPr>
        <w:t>递交投标文件参与现场报到签字的不是被授权委托人的；</w:t>
      </w:r>
    </w:p>
    <w:p w14:paraId="719D8895">
      <w:pPr>
        <w:widowControl/>
        <w:numPr>
          <w:ilvl w:val="0"/>
          <w:numId w:val="2"/>
        </w:numPr>
        <w:spacing w:line="380" w:lineRule="exact"/>
        <w:ind w:left="825" w:firstLine="15"/>
        <w:rPr>
          <w:rFonts w:hint="eastAsia" w:ascii="宋体" w:hAnsi="宋体" w:eastAsia="宋体"/>
          <w:sz w:val="24"/>
        </w:rPr>
      </w:pPr>
      <w:r>
        <w:rPr>
          <w:rFonts w:hint="eastAsia" w:ascii="宋体" w:hAnsi="宋体" w:eastAsia="宋体"/>
          <w:sz w:val="24"/>
        </w:rPr>
        <w:t>提供投标响应文件不符合采购文件要求，未实质性响应技术和商务要求的。</w:t>
      </w:r>
    </w:p>
    <w:p w14:paraId="6CE8BA66">
      <w:pPr>
        <w:spacing w:line="380" w:lineRule="exact"/>
        <w:ind w:firstLine="480"/>
        <w:rPr>
          <w:rFonts w:hint="eastAsia" w:ascii="宋体" w:hAnsi="宋体" w:eastAsia="宋体"/>
          <w:color w:val="000000"/>
          <w:sz w:val="24"/>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75DF0533">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2"/>
        <w:jc w:val="center"/>
      </w:pPr>
    </w:p>
    <w:p w14:paraId="058B7DCC">
      <w:pPr>
        <w:pStyle w:val="12"/>
        <w:jc w:val="center"/>
      </w:pPr>
    </w:p>
    <w:p w14:paraId="57166D52">
      <w:pPr>
        <w:pStyle w:val="12"/>
        <w:jc w:val="center"/>
        <w:rPr>
          <w:rFonts w:hint="eastAsia"/>
        </w:rPr>
      </w:pPr>
      <w:r>
        <w:rPr>
          <w:rFonts w:hint="eastAsia"/>
        </w:rPr>
        <w:t>涡阳县人民医院</w:t>
      </w:r>
    </w:p>
    <w:p w14:paraId="3A293F10">
      <w:pPr>
        <w:pStyle w:val="7"/>
        <w:jc w:val="center"/>
        <w:rPr>
          <w:rFonts w:ascii="方正小标宋简体" w:hAnsi="宋体" w:eastAsia="方正小标宋简体"/>
          <w:sz w:val="36"/>
        </w:rPr>
      </w:pPr>
    </w:p>
    <w:p w14:paraId="07105205">
      <w:pPr>
        <w:pStyle w:val="12"/>
        <w:jc w:val="center"/>
      </w:pPr>
      <w:r>
        <w:rPr>
          <w:rFonts w:hint="eastAsia"/>
          <w:lang w:eastAsia="zh-CN"/>
        </w:rPr>
        <w:t>改扩建项目测绘服务项目</w:t>
      </w:r>
    </w:p>
    <w:p w14:paraId="04D5347E">
      <w:pPr>
        <w:pStyle w:val="12"/>
        <w:jc w:val="center"/>
      </w:pPr>
    </w:p>
    <w:p w14:paraId="69578F02">
      <w:pPr>
        <w:pStyle w:val="12"/>
        <w:jc w:val="center"/>
      </w:pPr>
    </w:p>
    <w:p w14:paraId="5931C7DE">
      <w:pPr>
        <w:pStyle w:val="12"/>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2"/>
        <w:jc w:val="center"/>
      </w:pPr>
    </w:p>
    <w:p w14:paraId="0D1F7CF3">
      <w:pPr>
        <w:pStyle w:val="12"/>
        <w:jc w:val="center"/>
      </w:pPr>
    </w:p>
    <w:p w14:paraId="2237018B">
      <w:pPr>
        <w:pStyle w:val="12"/>
        <w:jc w:val="center"/>
      </w:pPr>
    </w:p>
    <w:p w14:paraId="50332820">
      <w:pPr>
        <w:pStyle w:val="12"/>
        <w:jc w:val="center"/>
      </w:pPr>
    </w:p>
    <w:p w14:paraId="60EEA19A">
      <w:pPr>
        <w:pStyle w:val="12"/>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5E68F4E6">
      <w:pPr>
        <w:pStyle w:val="12"/>
        <w:sectPr>
          <w:pgSz w:w="11906" w:h="16838"/>
          <w:pgMar w:top="1531" w:right="1304" w:bottom="1418" w:left="1418" w:header="851" w:footer="992" w:gutter="0"/>
          <w:cols w:space="720" w:num="1"/>
          <w:docGrid w:linePitch="435" w:charSpace="0"/>
        </w:sectPr>
      </w:pPr>
    </w:p>
    <w:p w14:paraId="460E8B1D"/>
    <w:p w14:paraId="745CF0D5"/>
    <w:p w14:paraId="074749D7">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7"/>
        <w:ind w:firstLine="640"/>
        <w:rPr>
          <w:rFonts w:ascii="宋体" w:hAnsi="宋体"/>
        </w:rPr>
      </w:pPr>
    </w:p>
    <w:p w14:paraId="4EA544F1">
      <w:pPr>
        <w:pStyle w:val="7"/>
        <w:ind w:firstLine="560"/>
        <w:rPr>
          <w:rFonts w:hint="eastAsia" w:ascii="宋体" w:hAnsi="宋体"/>
        </w:rPr>
      </w:pPr>
      <w:r>
        <w:rPr>
          <w:rFonts w:hint="eastAsia" w:ascii="宋体" w:hAnsi="宋体"/>
        </w:rPr>
        <w:t>一、投标函</w:t>
      </w:r>
    </w:p>
    <w:p w14:paraId="67C1AAE9">
      <w:pPr>
        <w:pStyle w:val="7"/>
        <w:ind w:firstLine="560"/>
        <w:rPr>
          <w:rFonts w:hint="eastAsia" w:ascii="宋体" w:hAnsi="宋体"/>
        </w:rPr>
      </w:pPr>
      <w:r>
        <w:rPr>
          <w:rFonts w:hint="eastAsia" w:ascii="宋体" w:hAnsi="宋体"/>
        </w:rPr>
        <w:t>二、开标一览表</w:t>
      </w:r>
      <w:r>
        <w:rPr>
          <w:rFonts w:hint="eastAsia" w:ascii="宋体" w:hAnsi="宋体"/>
          <w:highlight w:val="yellow"/>
        </w:rPr>
        <w:t>（报价单独密封递交）</w:t>
      </w:r>
    </w:p>
    <w:p w14:paraId="377DA051">
      <w:pPr>
        <w:pStyle w:val="7"/>
        <w:ind w:firstLine="560"/>
        <w:rPr>
          <w:rFonts w:hint="eastAsia" w:ascii="宋体" w:hAnsi="宋体"/>
        </w:rPr>
      </w:pPr>
      <w:r>
        <w:rPr>
          <w:rFonts w:hint="eastAsia" w:ascii="宋体" w:hAnsi="宋体"/>
        </w:rPr>
        <w:t>三、分项报价表</w:t>
      </w:r>
      <w:r>
        <w:rPr>
          <w:rFonts w:hint="eastAsia" w:ascii="宋体" w:hAnsi="宋体"/>
          <w:highlight w:val="yellow"/>
        </w:rPr>
        <w:t>（本项目不作要求）</w:t>
      </w:r>
    </w:p>
    <w:p w14:paraId="738A7C94">
      <w:pPr>
        <w:pStyle w:val="7"/>
        <w:ind w:firstLine="560"/>
        <w:rPr>
          <w:rFonts w:hint="eastAsia" w:ascii="宋体" w:hAnsi="宋体"/>
        </w:rPr>
      </w:pPr>
      <w:r>
        <w:rPr>
          <w:rFonts w:hint="eastAsia" w:ascii="宋体" w:hAnsi="宋体"/>
        </w:rPr>
        <w:t>四、参数响应表</w:t>
      </w:r>
    </w:p>
    <w:p w14:paraId="393D0FF7">
      <w:pPr>
        <w:pStyle w:val="7"/>
        <w:ind w:firstLine="560"/>
        <w:rPr>
          <w:rFonts w:hint="eastAsia" w:ascii="宋体" w:hAnsi="宋体"/>
        </w:rPr>
      </w:pPr>
      <w:r>
        <w:rPr>
          <w:rFonts w:hint="eastAsia" w:ascii="宋体" w:hAnsi="宋体"/>
        </w:rPr>
        <w:t>五、法定代表人（单位负责人）身份证明、授权委托书</w:t>
      </w:r>
    </w:p>
    <w:p w14:paraId="494BEECA">
      <w:pPr>
        <w:pStyle w:val="7"/>
        <w:ind w:firstLine="560"/>
        <w:rPr>
          <w:rFonts w:hint="eastAsia" w:ascii="宋体" w:hAnsi="宋体"/>
        </w:rPr>
      </w:pPr>
      <w:r>
        <w:rPr>
          <w:rFonts w:hint="eastAsia" w:ascii="宋体" w:hAnsi="宋体"/>
        </w:rPr>
        <w:t>六、无重大违法记录声明函</w:t>
      </w:r>
    </w:p>
    <w:p w14:paraId="0181278F">
      <w:pPr>
        <w:pStyle w:val="7"/>
        <w:ind w:firstLine="560"/>
        <w:rPr>
          <w:rFonts w:hint="eastAsia" w:ascii="宋体" w:hAnsi="宋体"/>
        </w:rPr>
      </w:pPr>
      <w:r>
        <w:rPr>
          <w:rFonts w:hint="eastAsia" w:ascii="宋体" w:hAnsi="宋体"/>
        </w:rPr>
        <w:t>七、资格证明文件</w:t>
      </w:r>
    </w:p>
    <w:p w14:paraId="79C28D82">
      <w:pPr>
        <w:pStyle w:val="7"/>
        <w:ind w:firstLine="560"/>
        <w:rPr>
          <w:rFonts w:hint="eastAsia" w:ascii="宋体" w:hAnsi="宋体"/>
        </w:rPr>
      </w:pPr>
      <w:r>
        <w:rPr>
          <w:rFonts w:hint="eastAsia" w:ascii="宋体" w:hAnsi="宋体"/>
        </w:rPr>
        <w:t>八、业绩证明材料</w:t>
      </w:r>
    </w:p>
    <w:p w14:paraId="5A5517BC">
      <w:pPr>
        <w:pStyle w:val="7"/>
        <w:ind w:firstLine="560"/>
        <w:rPr>
          <w:rFonts w:hint="eastAsia" w:ascii="微软雅黑" w:hAnsi="微软雅黑" w:eastAsia="微软雅黑"/>
          <w:sz w:val="28"/>
        </w:rPr>
      </w:pPr>
      <w:r>
        <w:rPr>
          <w:rFonts w:hint="eastAsia" w:ascii="宋体" w:hAnsi="宋体"/>
        </w:rPr>
        <w:t>九、报价人认为需要提供的其他材料</w:t>
      </w:r>
    </w:p>
    <w:p w14:paraId="6B0F5EAE">
      <w:pPr>
        <w:pStyle w:val="7"/>
        <w:ind w:firstLine="560"/>
        <w:rPr>
          <w:rFonts w:ascii="微软雅黑" w:hAnsi="微软雅黑" w:eastAsia="微软雅黑"/>
          <w:sz w:val="28"/>
        </w:rPr>
      </w:pPr>
    </w:p>
    <w:p w14:paraId="3E3BEE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11AB80C1">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30"/>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30"/>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64DEB7C4">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default" w:ascii="Calibri" w:hAnsi="宋体" w:eastAsia="等线"/>
                <w:kern w:val="0"/>
                <w:sz w:val="24"/>
                <w:lang w:val="en-US" w:eastAsia="zh-CN"/>
              </w:rPr>
            </w:pPr>
            <w:r>
              <w:rPr>
                <w:rFonts w:hint="eastAsia"/>
                <w:sz w:val="24"/>
              </w:rPr>
              <w:t>涡阳县人民医院</w:t>
            </w:r>
            <w:r>
              <w:rPr>
                <w:rFonts w:hint="eastAsia"/>
                <w:sz w:val="24"/>
                <w:lang w:eastAsia="zh-CN"/>
              </w:rPr>
              <w:t>改扩建项目测绘服务</w:t>
            </w:r>
            <w:r>
              <w:rPr>
                <w:rFonts w:hint="eastAsia"/>
                <w:sz w:val="24"/>
                <w:lang w:val="en-US" w:eastAsia="zh-CN"/>
              </w:rPr>
              <w:t>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highlight w:val="none"/>
              </w:rPr>
            </w:pPr>
            <w:r>
              <w:rPr>
                <w:rFonts w:ascii="Calibri" w:hAnsi="宋体" w:eastAsia="Calibri"/>
                <w:kern w:val="0"/>
                <w:sz w:val="24"/>
                <w:highlight w:val="none"/>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highlight w:val="none"/>
              </w:rPr>
            </w:pPr>
            <w:r>
              <w:rPr>
                <w:rFonts w:hint="eastAsia" w:ascii="Calibri" w:hAnsi="宋体"/>
                <w:kern w:val="0"/>
                <w:sz w:val="24"/>
                <w:highlight w:val="none"/>
                <w:lang w:val="en-US" w:eastAsia="zh-CN"/>
              </w:rPr>
              <w:t>完成</w:t>
            </w:r>
            <w:r>
              <w:rPr>
                <w:rFonts w:hint="eastAsia" w:ascii="Calibri" w:hAnsi="宋体"/>
                <w:kern w:val="0"/>
                <w:sz w:val="24"/>
                <w:highlight w:val="none"/>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lang w:eastAsia="zh-CN"/>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50388EF0">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5B9158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3BC904B4">
      <w:pPr>
        <w:jc w:val="center"/>
        <w:rPr>
          <w:rFonts w:ascii="宋体" w:hAnsi="宋体"/>
          <w:kern w:val="0"/>
          <w:sz w:val="28"/>
        </w:rPr>
      </w:pPr>
      <w:r>
        <w:rPr>
          <w:rFonts w:hint="eastAsia" w:ascii="宋体" w:hAnsi="宋体"/>
          <w:kern w:val="0"/>
          <w:sz w:val="28"/>
        </w:rPr>
        <w:t>表3-1  分项报价表</w:t>
      </w:r>
    </w:p>
    <w:p w14:paraId="7F726065">
      <w:pPr>
        <w:pStyle w:val="12"/>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4"/>
        <w:tblW w:w="14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068"/>
        <w:gridCol w:w="1968"/>
        <w:gridCol w:w="2077"/>
        <w:gridCol w:w="1261"/>
        <w:gridCol w:w="1003"/>
        <w:gridCol w:w="1489"/>
        <w:gridCol w:w="1322"/>
        <w:gridCol w:w="2305"/>
      </w:tblGrid>
      <w:tr w14:paraId="3B4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843" w:type="dxa"/>
            <w:vAlign w:val="center"/>
          </w:tcPr>
          <w:p w14:paraId="46D17DBC">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68" w:type="dxa"/>
            <w:vAlign w:val="center"/>
          </w:tcPr>
          <w:p w14:paraId="0F38505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968" w:type="dxa"/>
            <w:vAlign w:val="center"/>
          </w:tcPr>
          <w:p w14:paraId="70CB0CD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2077" w:type="dxa"/>
            <w:vAlign w:val="center"/>
          </w:tcPr>
          <w:p w14:paraId="47A303A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261" w:type="dxa"/>
            <w:vAlign w:val="center"/>
          </w:tcPr>
          <w:p w14:paraId="3949B9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003" w:type="dxa"/>
            <w:vAlign w:val="center"/>
          </w:tcPr>
          <w:p w14:paraId="4DA04001">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489" w:type="dxa"/>
          </w:tcPr>
          <w:p w14:paraId="4723579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w:t>
            </w:r>
          </w:p>
        </w:tc>
        <w:tc>
          <w:tcPr>
            <w:tcW w:w="1322" w:type="dxa"/>
            <w:vAlign w:val="center"/>
          </w:tcPr>
          <w:p w14:paraId="4C803722">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305" w:type="dxa"/>
            <w:vAlign w:val="center"/>
          </w:tcPr>
          <w:p w14:paraId="121F016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EA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3" w:type="dxa"/>
            <w:vAlign w:val="center"/>
          </w:tcPr>
          <w:p w14:paraId="01A25F9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68" w:type="dxa"/>
            <w:vAlign w:val="center"/>
          </w:tcPr>
          <w:p w14:paraId="12338885">
            <w:pPr>
              <w:jc w:val="center"/>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本项目不做要求</w:t>
            </w:r>
          </w:p>
        </w:tc>
        <w:tc>
          <w:tcPr>
            <w:tcW w:w="1968" w:type="dxa"/>
            <w:vAlign w:val="center"/>
          </w:tcPr>
          <w:p w14:paraId="07EE7520">
            <w:pPr>
              <w:jc w:val="center"/>
              <w:rPr>
                <w:rFonts w:hint="eastAsia" w:ascii="宋体" w:hAnsi="宋体" w:eastAsia="宋体" w:cs="宋体"/>
                <w:color w:val="000000"/>
                <w:kern w:val="0"/>
                <w:sz w:val="24"/>
                <w:szCs w:val="24"/>
              </w:rPr>
            </w:pPr>
          </w:p>
        </w:tc>
        <w:tc>
          <w:tcPr>
            <w:tcW w:w="2077" w:type="dxa"/>
            <w:vAlign w:val="center"/>
          </w:tcPr>
          <w:p w14:paraId="665B95FE">
            <w:pPr>
              <w:jc w:val="center"/>
              <w:rPr>
                <w:rFonts w:hint="eastAsia" w:ascii="宋体" w:hAnsi="宋体" w:eastAsia="宋体" w:cs="宋体"/>
                <w:color w:val="000000"/>
                <w:kern w:val="0"/>
                <w:sz w:val="24"/>
                <w:szCs w:val="24"/>
              </w:rPr>
            </w:pPr>
          </w:p>
        </w:tc>
        <w:tc>
          <w:tcPr>
            <w:tcW w:w="1261" w:type="dxa"/>
            <w:vAlign w:val="center"/>
          </w:tcPr>
          <w:p w14:paraId="6A5AAEC6">
            <w:pPr>
              <w:jc w:val="center"/>
              <w:rPr>
                <w:rFonts w:hint="default" w:ascii="宋体" w:hAnsi="宋体" w:eastAsia="宋体" w:cs="宋体"/>
                <w:color w:val="000000"/>
                <w:kern w:val="0"/>
                <w:sz w:val="24"/>
                <w:szCs w:val="24"/>
                <w:lang w:val="en-US" w:eastAsia="zh-CN"/>
              </w:rPr>
            </w:pPr>
          </w:p>
        </w:tc>
        <w:tc>
          <w:tcPr>
            <w:tcW w:w="1003" w:type="dxa"/>
            <w:vAlign w:val="center"/>
          </w:tcPr>
          <w:p w14:paraId="630AEB64">
            <w:pPr>
              <w:jc w:val="center"/>
              <w:rPr>
                <w:rFonts w:hint="eastAsia" w:ascii="宋体" w:hAnsi="宋体" w:eastAsia="宋体" w:cs="宋体"/>
                <w:color w:val="000000"/>
                <w:kern w:val="0"/>
                <w:sz w:val="24"/>
                <w:szCs w:val="24"/>
                <w:lang w:val="en-US" w:eastAsia="zh-CN"/>
              </w:rPr>
            </w:pPr>
          </w:p>
        </w:tc>
        <w:tc>
          <w:tcPr>
            <w:tcW w:w="1489" w:type="dxa"/>
          </w:tcPr>
          <w:p w14:paraId="355643BE">
            <w:pPr>
              <w:jc w:val="center"/>
              <w:rPr>
                <w:rFonts w:hint="eastAsia" w:ascii="宋体" w:hAnsi="宋体" w:eastAsia="宋体" w:cs="宋体"/>
                <w:color w:val="000000"/>
                <w:kern w:val="0"/>
                <w:sz w:val="24"/>
                <w:szCs w:val="24"/>
              </w:rPr>
            </w:pPr>
          </w:p>
        </w:tc>
        <w:tc>
          <w:tcPr>
            <w:tcW w:w="1322" w:type="dxa"/>
            <w:vAlign w:val="center"/>
          </w:tcPr>
          <w:p w14:paraId="1A901613">
            <w:pPr>
              <w:jc w:val="center"/>
              <w:rPr>
                <w:rFonts w:hint="eastAsia" w:ascii="宋体" w:hAnsi="宋体" w:eastAsia="宋体" w:cs="宋体"/>
                <w:color w:val="000000"/>
                <w:kern w:val="0"/>
                <w:sz w:val="24"/>
                <w:szCs w:val="24"/>
              </w:rPr>
            </w:pPr>
          </w:p>
        </w:tc>
        <w:tc>
          <w:tcPr>
            <w:tcW w:w="2305" w:type="dxa"/>
            <w:vAlign w:val="center"/>
          </w:tcPr>
          <w:p w14:paraId="67BC2C23">
            <w:pPr>
              <w:jc w:val="center"/>
              <w:rPr>
                <w:rFonts w:hint="eastAsia" w:ascii="宋体" w:hAnsi="宋体" w:eastAsia="宋体" w:cs="宋体"/>
                <w:color w:val="000000"/>
                <w:kern w:val="0"/>
                <w:sz w:val="24"/>
                <w:szCs w:val="24"/>
              </w:rPr>
            </w:pPr>
          </w:p>
        </w:tc>
      </w:tr>
      <w:tr w14:paraId="759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1A0FD15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68" w:type="dxa"/>
            <w:vAlign w:val="center"/>
          </w:tcPr>
          <w:p w14:paraId="650C8666">
            <w:pPr>
              <w:jc w:val="center"/>
              <w:rPr>
                <w:rFonts w:hint="default" w:ascii="宋体" w:hAnsi="宋体" w:eastAsia="宋体" w:cs="宋体"/>
                <w:color w:val="000000"/>
                <w:kern w:val="0"/>
                <w:sz w:val="24"/>
                <w:szCs w:val="24"/>
                <w:lang w:val="en-US" w:eastAsia="zh-CN"/>
              </w:rPr>
            </w:pPr>
          </w:p>
        </w:tc>
        <w:tc>
          <w:tcPr>
            <w:tcW w:w="1968" w:type="dxa"/>
            <w:vAlign w:val="center"/>
          </w:tcPr>
          <w:p w14:paraId="3A5F5AE3">
            <w:pPr>
              <w:jc w:val="center"/>
              <w:rPr>
                <w:rFonts w:hint="eastAsia" w:ascii="宋体" w:hAnsi="宋体" w:eastAsia="宋体" w:cs="宋体"/>
                <w:color w:val="000000"/>
                <w:kern w:val="0"/>
                <w:sz w:val="24"/>
                <w:szCs w:val="24"/>
              </w:rPr>
            </w:pPr>
          </w:p>
        </w:tc>
        <w:tc>
          <w:tcPr>
            <w:tcW w:w="2077" w:type="dxa"/>
            <w:vAlign w:val="center"/>
          </w:tcPr>
          <w:p w14:paraId="048BB50F">
            <w:pPr>
              <w:jc w:val="center"/>
              <w:rPr>
                <w:rFonts w:hint="eastAsia" w:ascii="宋体" w:hAnsi="宋体" w:eastAsia="宋体" w:cs="宋体"/>
                <w:color w:val="000000"/>
                <w:kern w:val="0"/>
                <w:sz w:val="24"/>
                <w:szCs w:val="24"/>
              </w:rPr>
            </w:pPr>
          </w:p>
        </w:tc>
        <w:tc>
          <w:tcPr>
            <w:tcW w:w="1261" w:type="dxa"/>
            <w:vAlign w:val="center"/>
          </w:tcPr>
          <w:p w14:paraId="40E3BD65">
            <w:pPr>
              <w:jc w:val="center"/>
              <w:rPr>
                <w:rFonts w:hint="eastAsia" w:ascii="宋体" w:hAnsi="宋体" w:eastAsia="宋体" w:cs="宋体"/>
                <w:color w:val="000000"/>
                <w:kern w:val="0"/>
                <w:sz w:val="24"/>
                <w:szCs w:val="24"/>
                <w:lang w:val="en-US" w:eastAsia="zh-CN"/>
              </w:rPr>
            </w:pPr>
          </w:p>
        </w:tc>
        <w:tc>
          <w:tcPr>
            <w:tcW w:w="1003" w:type="dxa"/>
            <w:vAlign w:val="center"/>
          </w:tcPr>
          <w:p w14:paraId="3901D90A">
            <w:pPr>
              <w:jc w:val="center"/>
              <w:rPr>
                <w:rFonts w:hint="eastAsia" w:ascii="宋体" w:hAnsi="宋体" w:eastAsia="宋体" w:cs="宋体"/>
                <w:color w:val="000000"/>
                <w:kern w:val="0"/>
                <w:sz w:val="24"/>
                <w:szCs w:val="24"/>
                <w:lang w:val="en-US" w:eastAsia="zh-CN"/>
              </w:rPr>
            </w:pPr>
          </w:p>
        </w:tc>
        <w:tc>
          <w:tcPr>
            <w:tcW w:w="1489" w:type="dxa"/>
          </w:tcPr>
          <w:p w14:paraId="29DBB06B">
            <w:pPr>
              <w:jc w:val="center"/>
              <w:rPr>
                <w:rFonts w:hint="eastAsia" w:ascii="宋体" w:hAnsi="宋体" w:eastAsia="宋体" w:cs="宋体"/>
                <w:color w:val="000000"/>
                <w:kern w:val="0"/>
                <w:sz w:val="24"/>
                <w:szCs w:val="24"/>
              </w:rPr>
            </w:pPr>
          </w:p>
        </w:tc>
        <w:tc>
          <w:tcPr>
            <w:tcW w:w="1322" w:type="dxa"/>
            <w:vAlign w:val="center"/>
          </w:tcPr>
          <w:p w14:paraId="4CEB49DF">
            <w:pPr>
              <w:jc w:val="center"/>
              <w:rPr>
                <w:rFonts w:hint="eastAsia" w:ascii="宋体" w:hAnsi="宋体" w:eastAsia="宋体" w:cs="宋体"/>
                <w:color w:val="000000"/>
                <w:kern w:val="0"/>
                <w:sz w:val="24"/>
                <w:szCs w:val="24"/>
              </w:rPr>
            </w:pPr>
          </w:p>
        </w:tc>
        <w:tc>
          <w:tcPr>
            <w:tcW w:w="2305" w:type="dxa"/>
            <w:vAlign w:val="center"/>
          </w:tcPr>
          <w:p w14:paraId="1BF40CB4">
            <w:pPr>
              <w:jc w:val="center"/>
              <w:rPr>
                <w:rFonts w:hint="eastAsia" w:ascii="宋体" w:hAnsi="宋体" w:eastAsia="宋体" w:cs="宋体"/>
                <w:color w:val="000000"/>
                <w:kern w:val="0"/>
                <w:sz w:val="24"/>
                <w:szCs w:val="24"/>
              </w:rPr>
            </w:pPr>
          </w:p>
        </w:tc>
      </w:tr>
      <w:tr w14:paraId="451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3B2ADE8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68" w:type="dxa"/>
            <w:vAlign w:val="center"/>
          </w:tcPr>
          <w:p w14:paraId="2C555588">
            <w:pPr>
              <w:jc w:val="center"/>
              <w:rPr>
                <w:rFonts w:hint="default" w:ascii="宋体" w:hAnsi="宋体" w:eastAsia="宋体" w:cs="宋体"/>
                <w:color w:val="000000"/>
                <w:kern w:val="0"/>
                <w:sz w:val="24"/>
                <w:szCs w:val="24"/>
                <w:lang w:val="en-US" w:eastAsia="zh-CN"/>
              </w:rPr>
            </w:pPr>
          </w:p>
        </w:tc>
        <w:tc>
          <w:tcPr>
            <w:tcW w:w="1968" w:type="dxa"/>
            <w:vAlign w:val="center"/>
          </w:tcPr>
          <w:p w14:paraId="525EC7AE">
            <w:pPr>
              <w:jc w:val="center"/>
              <w:rPr>
                <w:rFonts w:hint="eastAsia" w:ascii="宋体" w:hAnsi="宋体" w:eastAsia="宋体" w:cs="宋体"/>
                <w:color w:val="000000"/>
                <w:kern w:val="0"/>
                <w:sz w:val="24"/>
                <w:szCs w:val="24"/>
              </w:rPr>
            </w:pPr>
          </w:p>
        </w:tc>
        <w:tc>
          <w:tcPr>
            <w:tcW w:w="2077" w:type="dxa"/>
            <w:vAlign w:val="center"/>
          </w:tcPr>
          <w:p w14:paraId="2C3D8C86">
            <w:pPr>
              <w:jc w:val="center"/>
              <w:rPr>
                <w:rFonts w:hint="eastAsia" w:ascii="宋体" w:hAnsi="宋体" w:eastAsia="宋体" w:cs="宋体"/>
                <w:color w:val="000000"/>
                <w:kern w:val="0"/>
                <w:sz w:val="24"/>
                <w:szCs w:val="24"/>
              </w:rPr>
            </w:pPr>
          </w:p>
        </w:tc>
        <w:tc>
          <w:tcPr>
            <w:tcW w:w="1261" w:type="dxa"/>
            <w:vAlign w:val="center"/>
          </w:tcPr>
          <w:p w14:paraId="4595AEA6">
            <w:pPr>
              <w:jc w:val="center"/>
              <w:rPr>
                <w:rFonts w:hint="eastAsia" w:ascii="宋体" w:hAnsi="宋体" w:eastAsia="宋体" w:cs="宋体"/>
                <w:color w:val="000000"/>
                <w:kern w:val="0"/>
                <w:sz w:val="24"/>
                <w:szCs w:val="24"/>
                <w:lang w:val="en-US" w:eastAsia="zh-CN"/>
              </w:rPr>
            </w:pPr>
          </w:p>
        </w:tc>
        <w:tc>
          <w:tcPr>
            <w:tcW w:w="1003" w:type="dxa"/>
            <w:vAlign w:val="center"/>
          </w:tcPr>
          <w:p w14:paraId="04EC7A5B">
            <w:pPr>
              <w:jc w:val="center"/>
              <w:rPr>
                <w:rFonts w:hint="default" w:ascii="宋体" w:hAnsi="宋体" w:eastAsia="宋体" w:cs="宋体"/>
                <w:color w:val="000000"/>
                <w:kern w:val="0"/>
                <w:sz w:val="24"/>
                <w:szCs w:val="24"/>
                <w:lang w:val="en-US" w:eastAsia="zh-CN"/>
              </w:rPr>
            </w:pPr>
          </w:p>
        </w:tc>
        <w:tc>
          <w:tcPr>
            <w:tcW w:w="1489" w:type="dxa"/>
          </w:tcPr>
          <w:p w14:paraId="31EC8F7F">
            <w:pPr>
              <w:jc w:val="center"/>
              <w:rPr>
                <w:rFonts w:hint="eastAsia" w:ascii="宋体" w:hAnsi="宋体" w:eastAsia="宋体" w:cs="宋体"/>
                <w:color w:val="000000"/>
                <w:kern w:val="0"/>
                <w:sz w:val="24"/>
                <w:szCs w:val="24"/>
              </w:rPr>
            </w:pPr>
          </w:p>
        </w:tc>
        <w:tc>
          <w:tcPr>
            <w:tcW w:w="1322" w:type="dxa"/>
            <w:vAlign w:val="center"/>
          </w:tcPr>
          <w:p w14:paraId="15154266">
            <w:pPr>
              <w:jc w:val="center"/>
              <w:rPr>
                <w:rFonts w:hint="eastAsia" w:ascii="宋体" w:hAnsi="宋体" w:eastAsia="宋体" w:cs="宋体"/>
                <w:color w:val="000000"/>
                <w:kern w:val="0"/>
                <w:sz w:val="24"/>
                <w:szCs w:val="24"/>
              </w:rPr>
            </w:pPr>
          </w:p>
        </w:tc>
        <w:tc>
          <w:tcPr>
            <w:tcW w:w="2305" w:type="dxa"/>
            <w:vAlign w:val="center"/>
          </w:tcPr>
          <w:p w14:paraId="0D0CFCBA">
            <w:pPr>
              <w:jc w:val="center"/>
              <w:rPr>
                <w:rFonts w:hint="eastAsia" w:ascii="宋体" w:hAnsi="宋体" w:eastAsia="宋体" w:cs="宋体"/>
                <w:color w:val="000000"/>
                <w:kern w:val="0"/>
                <w:sz w:val="24"/>
                <w:szCs w:val="24"/>
              </w:rPr>
            </w:pPr>
          </w:p>
        </w:tc>
      </w:tr>
      <w:tr w14:paraId="3615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31" w:type="dxa"/>
            <w:gridSpan w:val="8"/>
            <w:vAlign w:val="center"/>
          </w:tcPr>
          <w:p w14:paraId="4DB91336">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2305" w:type="dxa"/>
            <w:noWrap/>
            <w:vAlign w:val="center"/>
          </w:tcPr>
          <w:p w14:paraId="4ADEB17C">
            <w:pPr>
              <w:jc w:val="left"/>
              <w:rPr>
                <w:rFonts w:hint="eastAsia" w:ascii="宋体" w:hAnsi="宋体" w:eastAsia="宋体" w:cs="宋体"/>
                <w:color w:val="000000"/>
                <w:kern w:val="0"/>
                <w:sz w:val="24"/>
                <w:szCs w:val="24"/>
              </w:rPr>
            </w:pPr>
          </w:p>
        </w:tc>
      </w:tr>
    </w:tbl>
    <w:p w14:paraId="5BDB280E">
      <w:pPr>
        <w:pStyle w:val="6"/>
        <w:spacing w:line="460" w:lineRule="exact"/>
        <w:ind w:firstLine="482"/>
        <w:rPr>
          <w:rFonts w:hint="default" w:ascii="宋体" w:hAnsi="宋体" w:eastAsia="宋体"/>
          <w:spacing w:val="12"/>
          <w:kern w:val="0"/>
          <w:sz w:val="24"/>
          <w:szCs w:val="24"/>
          <w:lang w:val="en-US" w:eastAsia="zh-CN"/>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cs="宋体"/>
          <w:b/>
          <w:bCs/>
          <w:color w:val="000000"/>
          <w:sz w:val="24"/>
          <w:szCs w:val="24"/>
          <w:lang w:val="en-US" w:eastAsia="zh-CN"/>
        </w:rPr>
        <w:t>本项目不做要求</w:t>
      </w: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71D07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20" w:lineRule="exact"/>
              <w:jc w:val="left"/>
              <w:textAlignment w:val="auto"/>
              <w:rPr>
                <w:rFonts w:ascii="宋体" w:hAnsi="宋体" w:eastAsia="宋体" w:cs="宋体"/>
                <w:b/>
                <w:color w:val="000000"/>
                <w:sz w:val="24"/>
                <w:szCs w:val="22"/>
              </w:rPr>
            </w:pP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777A97C7">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2"/>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2"/>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2"/>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2"/>
              <w:rPr>
                <w:sz w:val="32"/>
              </w:rPr>
            </w:pPr>
            <w:r>
              <w:rPr>
                <w:rFonts w:hint="eastAsia"/>
              </w:rPr>
              <w:t>身份证  背面</w:t>
            </w:r>
          </w:p>
        </w:tc>
      </w:tr>
    </w:tbl>
    <w:p w14:paraId="1E5DBC25"/>
    <w:p w14:paraId="55A53D36">
      <w:pPr>
        <w:pStyle w:val="12"/>
        <w:sectPr>
          <w:pgSz w:w="11906" w:h="16838"/>
          <w:pgMar w:top="1531" w:right="1304" w:bottom="1418" w:left="1418" w:header="851" w:footer="992" w:gutter="0"/>
          <w:cols w:space="425" w:num="1"/>
          <w:docGrid w:linePitch="435" w:charSpace="0"/>
        </w:sectPr>
      </w:pPr>
    </w:p>
    <w:p w14:paraId="6206AB40">
      <w:pPr>
        <w:pStyle w:val="12"/>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2"/>
      </w:pPr>
    </w:p>
    <w:p w14:paraId="05C6DCFA"/>
    <w:p w14:paraId="02B6C70C">
      <w:pPr>
        <w:spacing w:line="360" w:lineRule="exact"/>
        <w:ind w:firstLine="411" w:firstLineChars="196"/>
        <w:rPr>
          <w:rFonts w:ascii="宋体" w:hAnsi="宋体"/>
          <w:color w:val="000000"/>
        </w:rPr>
      </w:pPr>
    </w:p>
    <w:p w14:paraId="32743EAB">
      <w:pPr>
        <w:pStyle w:val="12"/>
      </w:pPr>
    </w:p>
    <w:p w14:paraId="12F2F97E"/>
    <w:p w14:paraId="5D149F55">
      <w:pPr>
        <w:pStyle w:val="12"/>
      </w:pPr>
    </w:p>
    <w:p w14:paraId="740808D1"/>
    <w:p w14:paraId="5F938C95">
      <w:pPr>
        <w:pStyle w:val="12"/>
      </w:pPr>
    </w:p>
    <w:p w14:paraId="0978EB39"/>
    <w:p w14:paraId="4B0B69CE">
      <w:pPr>
        <w:pStyle w:val="12"/>
      </w:pPr>
    </w:p>
    <w:p w14:paraId="5E34FA81"/>
    <w:p w14:paraId="55F6D659">
      <w:pPr>
        <w:pStyle w:val="12"/>
      </w:pPr>
    </w:p>
    <w:p w14:paraId="106D75DC"/>
    <w:p w14:paraId="1440181D">
      <w:pPr>
        <w:pStyle w:val="12"/>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2"/>
      </w:pPr>
    </w:p>
    <w:p w14:paraId="7D40999C"/>
    <w:p w14:paraId="41658510">
      <w:pPr>
        <w:pStyle w:val="12"/>
      </w:pPr>
    </w:p>
    <w:p w14:paraId="452F74F6"/>
    <w:p w14:paraId="320E56F8">
      <w:pPr>
        <w:pStyle w:val="12"/>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2"/>
      </w:pPr>
    </w:p>
    <w:p w14:paraId="4FF5C0E8"/>
    <w:p w14:paraId="5D47EF8C">
      <w:pPr>
        <w:pStyle w:val="12"/>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295F95DD"/>
    <w:multiLevelType w:val="singleLevel"/>
    <w:tmpl w:val="295F95DD"/>
    <w:lvl w:ilvl="0" w:tentative="0">
      <w:start w:val="5"/>
      <w:numFmt w:val="chineseCounting"/>
      <w:suff w:val="nothing"/>
      <w:lvlText w:val="%1、"/>
      <w:lvlJc w:val="left"/>
      <w:rPr>
        <w:rFonts w:hint="eastAsia"/>
      </w:rPr>
    </w:lvl>
  </w:abstractNum>
  <w:abstractNum w:abstractNumId="2">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6D45173"/>
    <w:rsid w:val="083855E2"/>
    <w:rsid w:val="09906A6D"/>
    <w:rsid w:val="0F521582"/>
    <w:rsid w:val="104355C3"/>
    <w:rsid w:val="109151D3"/>
    <w:rsid w:val="12333415"/>
    <w:rsid w:val="12A17E73"/>
    <w:rsid w:val="13095B47"/>
    <w:rsid w:val="15761F97"/>
    <w:rsid w:val="16DC514E"/>
    <w:rsid w:val="1BB16CDE"/>
    <w:rsid w:val="1D461794"/>
    <w:rsid w:val="1DA81E22"/>
    <w:rsid w:val="1E8C6387"/>
    <w:rsid w:val="1EB708D3"/>
    <w:rsid w:val="1F640A9F"/>
    <w:rsid w:val="204E4C4A"/>
    <w:rsid w:val="20AE24A9"/>
    <w:rsid w:val="21EA231A"/>
    <w:rsid w:val="21F0216C"/>
    <w:rsid w:val="238D5045"/>
    <w:rsid w:val="23CA7FFF"/>
    <w:rsid w:val="24045AE0"/>
    <w:rsid w:val="26E96CED"/>
    <w:rsid w:val="285F540B"/>
    <w:rsid w:val="291507CC"/>
    <w:rsid w:val="2A10554F"/>
    <w:rsid w:val="2ACB0237"/>
    <w:rsid w:val="2B6C1E17"/>
    <w:rsid w:val="2B97636B"/>
    <w:rsid w:val="2BB75A33"/>
    <w:rsid w:val="2CAA14D5"/>
    <w:rsid w:val="31070DAE"/>
    <w:rsid w:val="31AC0DC2"/>
    <w:rsid w:val="32433C69"/>
    <w:rsid w:val="32E427DE"/>
    <w:rsid w:val="33DB43DD"/>
    <w:rsid w:val="34205016"/>
    <w:rsid w:val="347445FE"/>
    <w:rsid w:val="34EA1CFF"/>
    <w:rsid w:val="36A743DD"/>
    <w:rsid w:val="39BE01A8"/>
    <w:rsid w:val="3C9A7D47"/>
    <w:rsid w:val="3DA97B7A"/>
    <w:rsid w:val="43B15138"/>
    <w:rsid w:val="453F3B2A"/>
    <w:rsid w:val="46E46CF4"/>
    <w:rsid w:val="47FA04A6"/>
    <w:rsid w:val="499C2410"/>
    <w:rsid w:val="4A5B6F1C"/>
    <w:rsid w:val="4ABA26EE"/>
    <w:rsid w:val="50E621F8"/>
    <w:rsid w:val="52391786"/>
    <w:rsid w:val="529B1C2A"/>
    <w:rsid w:val="52BC6534"/>
    <w:rsid w:val="5A703793"/>
    <w:rsid w:val="5C0C7E11"/>
    <w:rsid w:val="5FA03CAB"/>
    <w:rsid w:val="627961EF"/>
    <w:rsid w:val="62D7176F"/>
    <w:rsid w:val="62DC6FF8"/>
    <w:rsid w:val="63430101"/>
    <w:rsid w:val="64900831"/>
    <w:rsid w:val="67C113D5"/>
    <w:rsid w:val="69915242"/>
    <w:rsid w:val="6A1E213E"/>
    <w:rsid w:val="6C125B39"/>
    <w:rsid w:val="6C7D312C"/>
    <w:rsid w:val="6F4A3F0E"/>
    <w:rsid w:val="71F238C8"/>
    <w:rsid w:val="72783DCD"/>
    <w:rsid w:val="747C0EE6"/>
    <w:rsid w:val="79E93CF9"/>
    <w:rsid w:val="7BA1320A"/>
    <w:rsid w:val="7D7643AB"/>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标题 2 字符"/>
    <w:link w:val="3"/>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qFormat/>
    <w:uiPriority w:val="0"/>
    <w:rPr>
      <w:rFonts w:ascii="Calibri" w:hAnsi="Calibri" w:cs="Calibri"/>
      <w:color w:val="000000"/>
      <w:sz w:val="21"/>
      <w:szCs w:val="21"/>
      <w:u w:val="none"/>
    </w:rPr>
  </w:style>
  <w:style w:type="character" w:customStyle="1" w:styleId="28">
    <w:name w:val="font31"/>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5041</Words>
  <Characters>5208</Characters>
  <Lines>48</Lines>
  <Paragraphs>13</Paragraphs>
  <TotalTime>2</TotalTime>
  <ScaleCrop>false</ScaleCrop>
  <LinksUpToDate>false</LinksUpToDate>
  <CharactersWithSpaces>5865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2025-03-21T06:41:20Z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E596538A80EC4096B39D7A3E5D9CF9C5_13</vt:lpwstr>
  </property>
  <property fmtid="{D5CDD505-2E9C-101B-9397-08002B2CF9AE}" pid="4" name="KSOTemplateDocerSaveRecord">
    <vt:lpwstr>eyJoZGlkIjoiYTRiZTg4MTczOGZmMWQ3ZTMxMzkyMjgzMTU2M2QxMWIiLCJ1c2VySWQiOiI0MDc2NjA5NTMifQ==</vt:lpwstr>
  </property>
</Properties>
</file>